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header2.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before="240" w:after="60"/>
        <w:rPr/>
      </w:pPr>
      <w:bookmarkStart w:id="0" w:name="_heading=h.2eclud0"/>
      <w:bookmarkEnd w:id="0"/>
      <w:r>
        <w:rPr>
          <w:lang w:val="es-ES"/>
        </w:rPr>
        <w:t>ANEXO NÚM. 13.- ACUERDO TIPO DE TRATAMIENTO DE DATOS PERSONALES ENTRE RESPONSABLE Y ENCARGADO</w:t>
      </w:r>
    </w:p>
    <w:p>
      <w:pPr>
        <w:pStyle w:val="Normal1"/>
        <w:keepNext w:val="true"/>
        <w:widowControl/>
        <w:spacing w:lineRule="auto" w:line="276" w:before="240" w:after="60"/>
        <w:jc w:val="center"/>
        <w:rPr>
          <w:rFonts w:ascii="Arial Narrow" w:hAnsi="Arial Narrow" w:eastAsia="Arial Narrow" w:cs="Arial Narrow"/>
          <w:b/>
          <w:smallCaps/>
          <w:sz w:val="22"/>
          <w:szCs w:val="22"/>
          <w:highlight w:val="yellow"/>
          <w:u w:val="single"/>
          <w:lang w:val="es-ES"/>
        </w:rPr>
      </w:pPr>
      <w:r>
        <w:rPr>
          <w:rFonts w:eastAsia="Arial Narrow" w:cs="Arial Narrow" w:ascii="Arial Narrow" w:hAnsi="Arial Narrow"/>
          <w:b/>
          <w:smallCaps/>
          <w:sz w:val="22"/>
          <w:szCs w:val="22"/>
          <w:highlight w:val="yellow"/>
          <w:u w:val="single"/>
          <w:lang w:val="es-ES"/>
        </w:rPr>
      </w:r>
      <w:bookmarkStart w:id="1" w:name="_heading=h.hihjjqovhr0g"/>
      <w:bookmarkStart w:id="2" w:name="_heading=h.hihjjqovhr0g"/>
      <w:bookmarkEnd w:id="2"/>
    </w:p>
    <w:p>
      <w:pPr>
        <w:pStyle w:val="Normal1"/>
        <w:keepNext w:val="true"/>
        <w:widowControl/>
        <w:spacing w:lineRule="auto" w:line="276" w:before="240" w:after="60"/>
        <w:jc w:val="center"/>
        <w:rPr>
          <w:rFonts w:ascii="Arial Narrow" w:hAnsi="Arial Narrow" w:eastAsia="Arial Narrow" w:cs="Arial Narrow"/>
          <w:b/>
          <w:smallCaps/>
          <w:sz w:val="22"/>
          <w:szCs w:val="22"/>
          <w:highlight w:val="yellow"/>
          <w:u w:val="single"/>
          <w:lang w:val="es-ES"/>
        </w:rPr>
      </w:pPr>
      <w:r>
        <w:rPr>
          <w:rFonts w:eastAsia="Arial Narrow" w:cs="Arial Narrow" w:ascii="Arial Narrow" w:hAnsi="Arial Narrow"/>
          <w:b/>
          <w:smallCaps/>
          <w:sz w:val="22"/>
          <w:szCs w:val="22"/>
          <w:highlight w:val="yellow"/>
          <w:u w:val="single"/>
          <w:lang w:val="es-ES"/>
        </w:rPr>
      </w:r>
      <w:bookmarkStart w:id="3" w:name="_heading=h.4z4lki6f7gqd"/>
      <w:bookmarkStart w:id="4" w:name="_heading=h.4z4lki6f7gqd"/>
      <w:bookmarkEnd w:id="4"/>
    </w:p>
    <w:p>
      <w:pPr>
        <w:pStyle w:val="Normal1"/>
        <w:keepNext w:val="true"/>
        <w:widowControl/>
        <w:spacing w:lineRule="auto" w:line="276" w:before="240" w:after="60"/>
        <w:jc w:val="center"/>
        <w:rPr>
          <w:rFonts w:ascii="Arial Narrow" w:hAnsi="Arial Narrow" w:eastAsia="Arial Narrow" w:cs="Arial Narrow"/>
          <w:b/>
          <w:smallCaps/>
          <w:sz w:val="22"/>
          <w:szCs w:val="22"/>
          <w:highlight w:val="yellow"/>
          <w:u w:val="single"/>
          <w:lang w:val="es-ES"/>
        </w:rPr>
      </w:pPr>
      <w:r>
        <w:rPr>
          <w:rFonts w:eastAsia="Arial Narrow" w:cs="Arial Narrow" w:ascii="Arial Narrow" w:hAnsi="Arial Narrow"/>
          <w:b/>
          <w:smallCaps/>
          <w:sz w:val="22"/>
          <w:szCs w:val="22"/>
          <w:highlight w:val="yellow"/>
          <w:u w:val="single"/>
          <w:lang w:val="es-ES"/>
        </w:rPr>
      </w:r>
      <w:bookmarkStart w:id="5" w:name="_heading=h.thw4kt"/>
      <w:bookmarkStart w:id="6" w:name="_heading=h.thw4kt"/>
      <w:bookmarkEnd w:id="6"/>
    </w:p>
    <w:tbl>
      <w:tblPr>
        <w:tblStyle w:val="Table14"/>
        <w:tblW w:w="9029" w:type="dxa"/>
        <w:jc w:val="center"/>
        <w:tblInd w:w="0" w:type="dxa"/>
        <w:tblLayout w:type="fixed"/>
        <w:tblCellMar>
          <w:top w:w="100" w:type="dxa"/>
          <w:left w:w="100" w:type="dxa"/>
          <w:bottom w:w="100" w:type="dxa"/>
          <w:right w:w="100" w:type="dxa"/>
        </w:tblCellMar>
        <w:tblLook w:val="0600"/>
      </w:tblPr>
      <w:tblGrid>
        <w:gridCol w:w="9029"/>
      </w:tblGrid>
      <w:tr>
        <w:trPr/>
        <w:tc>
          <w:tcPr>
            <w:tcW w:w="9029" w:type="dxa"/>
            <w:tcBorders>
              <w:top w:val="single" w:sz="8" w:space="0" w:color="000000"/>
              <w:left w:val="single" w:sz="8" w:space="0" w:color="000000"/>
              <w:bottom w:val="single" w:sz="8" w:space="0" w:color="000000"/>
              <w:right w:val="single" w:sz="8" w:space="0" w:color="000000"/>
            </w:tcBorders>
            <w:shd w:fill="auto" w:val="clear"/>
          </w:tcPr>
          <w:p>
            <w:pPr>
              <w:pStyle w:val="Normal1"/>
              <w:rPr>
                <w:rFonts w:ascii="Arial Narrow" w:hAnsi="Arial Narrow" w:eastAsia="Arial Narrow" w:cs="Arial Narrow"/>
                <w:color w:val="FF0000"/>
                <w:sz w:val="22"/>
                <w:szCs w:val="22"/>
                <w:highlight w:val="yellow"/>
                <w:lang w:val="es-ES"/>
              </w:rPr>
            </w:pPr>
            <w:r>
              <w:rPr>
                <w:rFonts w:eastAsia="Arial Narrow" w:cs="Arial Narrow" w:ascii="Arial Narrow" w:hAnsi="Arial Narrow"/>
                <w:color w:val="FF0000"/>
                <w:sz w:val="22"/>
                <w:szCs w:val="22"/>
                <w:highlight w:val="yellow"/>
                <w:lang w:val="es-ES"/>
              </w:rPr>
            </w:r>
          </w:p>
          <w:sdt>
            <w:sdtPr>
              <w:docPartObj>
                <w:docPartGallery w:val="Table of Contents"/>
                <w:docPartUnique w:val="true"/>
              </w:docPartObj>
            </w:sdtPr>
            <w:sdtContent>
              <w:p>
                <w:pPr>
                  <w:pStyle w:val="Normal1"/>
                  <w:spacing w:lineRule="auto" w:line="240" w:before="60" w:after="0"/>
                  <w:rPr>
                    <w:lang w:val="es-ES"/>
                  </w:rPr>
                </w:pPr>
                <w:r>
                  <w:fldChar w:fldCharType="begin"/>
                </w:r>
                <w:r>
                  <w:rPr>
                    <w:sz w:val="22"/>
                    <w:szCs w:val="22"/>
                    <w:rFonts w:eastAsia="Arial Narrow" w:cs="Arial Narrow" w:ascii="Arial Narrow" w:hAnsi="Arial Narrow"/>
                    <w:color w:val="4472C4"/>
                    <w:lang w:val="es-ES"/>
                  </w:rPr>
                  <w:instrText xml:space="preserve"> TOC \z \o "1-9" \u \t "Heading 1,1,Heading 2,2,Heading 3,3,Heading 4,4,Heading 5,5,Heading 6,6" \h</w:instrText>
                </w:r>
                <w:r>
                  <w:rPr>
                    <w:sz w:val="22"/>
                    <w:szCs w:val="22"/>
                    <w:rFonts w:eastAsia="Arial Narrow" w:cs="Arial Narrow" w:ascii="Arial Narrow" w:hAnsi="Arial Narrow"/>
                    <w:color w:val="4472C4"/>
                    <w:lang w:val="es-ES"/>
                  </w:rPr>
                  <w:fldChar w:fldCharType="separate"/>
                </w:r>
                <w:r>
                  <w:rPr>
                    <w:rFonts w:eastAsia="Arial Narrow" w:cs="Arial Narrow" w:ascii="Arial Narrow" w:hAnsi="Arial Narrow"/>
                    <w:color w:val="4472C4"/>
                    <w:sz w:val="22"/>
                    <w:szCs w:val="22"/>
                    <w:lang w:val="es-ES"/>
                  </w:rPr>
                  <w:t>Listado de apéndices a este Anexo:</w:t>
                </w:r>
              </w:p>
              <w:p>
                <w:pPr>
                  <w:pStyle w:val="Normal1"/>
                  <w:spacing w:lineRule="auto" w:line="240" w:before="60" w:after="0"/>
                  <w:ind w:hanging="0" w:left="360"/>
                  <w:rPr>
                    <w:lang w:val="es-ES"/>
                  </w:rPr>
                </w:pPr>
                <w:r>
                  <w:rPr>
                    <w:rFonts w:eastAsia="Arial Narrow" w:cs="Arial Narrow" w:ascii="Arial Narrow" w:hAnsi="Arial Narrow"/>
                    <w:color w:val="1155CC"/>
                    <w:sz w:val="22"/>
                    <w:szCs w:val="22"/>
                    <w:u w:val="single"/>
                    <w:lang w:val="es-ES"/>
                  </w:rPr>
                  <w:t>Apéndice I: Información relativa al tratamiento y medidas de seguridad (TOM`´s)</w:t>
                </w:r>
              </w:p>
              <w:p>
                <w:pPr>
                  <w:pStyle w:val="Normal1"/>
                  <w:spacing w:lineRule="auto" w:line="240" w:before="60" w:after="0"/>
                  <w:ind w:hanging="0" w:left="360"/>
                  <w:rPr>
                    <w:lang w:val="es-ES"/>
                  </w:rPr>
                </w:pPr>
                <w:r>
                  <w:rPr>
                    <w:rFonts w:eastAsia="Arial Narrow" w:cs="Arial Narrow" w:ascii="Arial Narrow" w:hAnsi="Arial Narrow"/>
                    <w:color w:val="1155CC"/>
                    <w:sz w:val="22"/>
                    <w:szCs w:val="22"/>
                    <w:u w:val="single"/>
                    <w:lang w:val="es-ES"/>
                  </w:rPr>
                  <w:t>Apéndice II: Modelo para la solicitud de autorización específica de subencargos</w:t>
                </w:r>
              </w:p>
              <w:p>
                <w:pPr>
                  <w:pStyle w:val="Normal1"/>
                  <w:spacing w:lineRule="auto" w:line="240" w:before="60" w:after="0"/>
                  <w:ind w:hanging="0" w:left="360"/>
                  <w:rPr>
                    <w:lang w:val="es-ES"/>
                  </w:rPr>
                </w:pPr>
                <w:r>
                  <w:rPr>
                    <w:rFonts w:eastAsia="Arial Narrow" w:cs="Arial Narrow" w:ascii="Arial Narrow" w:hAnsi="Arial Narrow"/>
                    <w:color w:val="1155CC"/>
                    <w:sz w:val="22"/>
                    <w:szCs w:val="22"/>
                    <w:u w:val="single"/>
                    <w:lang w:val="es-ES"/>
                  </w:rPr>
                  <w:t>Apéndice III:  Plantilla para reporte de incidentes de seguridad</w:t>
                </w:r>
                <w:r>
                  <w:rPr>
                    <w:sz w:val="22"/>
                    <w:u w:val="single"/>
                    <w:szCs w:val="22"/>
                    <w:rFonts w:eastAsia="Arial Narrow" w:cs="Arial Narrow" w:ascii="Arial Narrow" w:hAnsi="Arial Narrow"/>
                    <w:color w:val="1155CC"/>
                    <w:lang w:val="es-ES"/>
                  </w:rPr>
                  <w:fldChar w:fldCharType="end"/>
                </w:r>
              </w:p>
            </w:sdtContent>
          </w:sdt>
          <w:p>
            <w:pPr>
              <w:pStyle w:val="Normal1"/>
              <w:rPr>
                <w:rFonts w:ascii="Arial Narrow" w:hAnsi="Arial Narrow" w:eastAsia="Arial Narrow" w:cs="Arial Narrow"/>
                <w:color w:val="FF0000"/>
                <w:sz w:val="22"/>
                <w:szCs w:val="22"/>
                <w:highlight w:val="yellow"/>
                <w:lang w:val="es-ES"/>
              </w:rPr>
            </w:pPr>
            <w:r>
              <w:rPr>
                <w:rFonts w:eastAsia="Arial Narrow" w:cs="Arial Narrow" w:ascii="Arial Narrow" w:hAnsi="Arial Narrow"/>
                <w:color w:val="FF0000"/>
                <w:sz w:val="22"/>
                <w:szCs w:val="22"/>
                <w:highlight w:val="yellow"/>
                <w:lang w:val="es-ES"/>
              </w:rPr>
            </w:r>
          </w:p>
        </w:tc>
      </w:tr>
    </w:tbl>
    <w:p>
      <w:pPr>
        <w:pStyle w:val="Normal1"/>
        <w:jc w:val="center"/>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jc w:val="center"/>
        <w:rPr>
          <w:rFonts w:ascii="Arial Narrow" w:hAnsi="Arial Narrow" w:eastAsia="Arial Narrow" w:cs="Arial Narrow"/>
          <w:i/>
          <w:i/>
          <w:sz w:val="22"/>
          <w:szCs w:val="22"/>
          <w:lang w:val="es-ES"/>
        </w:rPr>
      </w:pPr>
      <w:r>
        <w:rPr>
          <w:rFonts w:eastAsia="Arial Narrow" w:cs="Arial Narrow" w:ascii="Arial Narrow" w:hAnsi="Arial Narrow"/>
          <w:i/>
          <w:sz w:val="22"/>
          <w:szCs w:val="22"/>
          <w:lang w:val="es-ES"/>
        </w:rPr>
      </w:r>
    </w:p>
    <w:p>
      <w:pPr>
        <w:pStyle w:val="Normal1"/>
        <w:jc w:val="center"/>
        <w:rPr>
          <w:lang w:val="es-ES"/>
        </w:rPr>
      </w:pPr>
      <w:r>
        <w:rPr>
          <w:rFonts w:eastAsia="Arial Narrow" w:cs="Arial Narrow" w:ascii="Arial Narrow" w:hAnsi="Arial Narrow"/>
          <w:i/>
          <w:sz w:val="22"/>
          <w:szCs w:val="22"/>
          <w:lang w:val="es-ES"/>
        </w:rPr>
        <w:t>Anexo al Contrato Principal</w:t>
      </w:r>
    </w:p>
    <w:p>
      <w:pPr>
        <w:pStyle w:val="Normal1"/>
        <w:jc w:val="center"/>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keepLines/>
        <w:widowControl w:val="false"/>
        <w:spacing w:lineRule="auto" w:line="240" w:before="0" w:after="0"/>
        <w:jc w:val="center"/>
        <w:rPr>
          <w:lang w:val="es-ES"/>
        </w:rPr>
      </w:pPr>
      <w:r>
        <w:rPr>
          <w:rFonts w:eastAsia="Arial Narrow" w:cs="Arial Narrow" w:ascii="Arial Narrow" w:hAnsi="Arial Narrow"/>
          <w:b/>
          <w:lang w:val="es-ES"/>
        </w:rPr>
        <w:t xml:space="preserve">Acuerdo de Tratamiento de datos </w:t>
      </w:r>
    </w:p>
    <w:p>
      <w:pPr>
        <w:pStyle w:val="Normal1"/>
        <w:keepLines/>
        <w:widowControl w:val="false"/>
        <w:spacing w:lineRule="auto" w:line="240" w:before="0" w:after="0"/>
        <w:jc w:val="center"/>
        <w:rPr>
          <w:lang w:val="es-ES"/>
        </w:rPr>
      </w:pPr>
      <w:r>
        <w:rPr>
          <w:rFonts w:eastAsia="Arial Narrow" w:cs="Arial Narrow" w:ascii="Arial Narrow" w:hAnsi="Arial Narrow"/>
          <w:b/>
          <w:lang w:val="es-ES"/>
        </w:rPr>
        <w:t>entre Responsable y Encargado del tratamiento</w:t>
      </w:r>
    </w:p>
    <w:p>
      <w:pPr>
        <w:pStyle w:val="Normal1"/>
        <w:spacing w:lineRule="auto" w:line="240" w:before="512" w:after="0"/>
        <w:jc w:val="center"/>
        <w:rPr>
          <w:lang w:val="es-ES"/>
        </w:rPr>
      </w:pPr>
      <w:r>
        <w:rPr>
          <w:rFonts w:eastAsia="Arial Narrow" w:cs="Arial Narrow" w:ascii="Arial Narrow" w:hAnsi="Arial Narrow"/>
          <w:b/>
          <w:sz w:val="22"/>
          <w:szCs w:val="22"/>
          <w:lang w:val="es-ES"/>
        </w:rPr>
        <w:t>(Artículo 28 del GDPR)</w:t>
      </w:r>
    </w:p>
    <w:p>
      <w:pPr>
        <w:pStyle w:val="Normal1"/>
        <w:widowControl/>
        <w:spacing w:lineRule="auto" w:line="192" w:before="294" w:after="0"/>
        <w:jc w:val="center"/>
        <w:rPr>
          <w:lang w:val="es-ES"/>
        </w:rPr>
      </w:pPr>
      <w:r>
        <w:rPr>
          <w:rFonts w:eastAsia="Arial Narrow" w:cs="Arial Narrow" w:ascii="Arial Narrow" w:hAnsi="Arial Narrow"/>
          <w:sz w:val="22"/>
          <w:szCs w:val="22"/>
          <w:lang w:val="es-ES"/>
        </w:rPr>
        <w:t>SECCIÓN I</w:t>
      </w:r>
    </w:p>
    <w:p>
      <w:pPr>
        <w:pStyle w:val="Normal1"/>
        <w:widowControl/>
        <w:spacing w:lineRule="auto" w:line="216" w:before="433" w:after="0"/>
        <w:jc w:val="center"/>
        <w:rPr>
          <w:lang w:val="es-ES"/>
        </w:rPr>
      </w:pPr>
      <w:r>
        <w:rPr>
          <w:rFonts w:eastAsia="Arial Narrow" w:cs="Arial Narrow" w:ascii="Arial Narrow" w:hAnsi="Arial Narrow"/>
          <w:i/>
          <w:sz w:val="22"/>
          <w:szCs w:val="22"/>
          <w:lang w:val="es-ES"/>
        </w:rPr>
        <w:t>Cláusula 1</w:t>
      </w:r>
    </w:p>
    <w:p>
      <w:pPr>
        <w:pStyle w:val="Normal1"/>
        <w:widowControl/>
        <w:spacing w:lineRule="auto" w:line="235" w:before="206" w:after="0"/>
        <w:jc w:val="center"/>
        <w:rPr>
          <w:lang w:val="es-ES"/>
        </w:rPr>
      </w:pPr>
      <w:r>
        <w:rPr>
          <w:rFonts w:eastAsia="Arial Narrow" w:cs="Arial Narrow" w:ascii="Arial Narrow" w:hAnsi="Arial Narrow"/>
          <w:b/>
          <w:i/>
          <w:sz w:val="22"/>
          <w:szCs w:val="22"/>
          <w:lang w:val="es-ES"/>
        </w:rPr>
        <w:t>Finalidad y ámbito de aplicación</w:t>
      </w:r>
    </w:p>
    <w:p>
      <w:pPr>
        <w:pStyle w:val="Normal1"/>
        <w:widowControl/>
        <w:numPr>
          <w:ilvl w:val="0"/>
          <w:numId w:val="4"/>
        </w:numPr>
        <w:tabs>
          <w:tab w:val="clear" w:pos="720"/>
          <w:tab w:val="left" w:pos="792" w:leader="none"/>
        </w:tabs>
        <w:spacing w:lineRule="auto" w:line="206" w:before="116" w:after="0"/>
        <w:ind w:hanging="288" w:left="792" w:right="504"/>
        <w:jc w:val="both"/>
        <w:rPr>
          <w:lang w:val="es-ES"/>
        </w:rPr>
      </w:pPr>
      <w:r>
        <w:rPr>
          <w:rFonts w:eastAsia="Arial Narrow" w:cs="Arial Narrow" w:ascii="Arial Narrow" w:hAnsi="Arial Narrow"/>
          <w:sz w:val="22"/>
          <w:szCs w:val="22"/>
          <w:lang w:val="es-ES"/>
        </w:rPr>
        <w:t>La finalidad de las presentes cláusulas (en adelante, las “Cláusulas”) es garantizar que se cumpla el artículo 28, apartados 3 y 4, del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responsables y encargados del tratamiento enumerados en el Apéndice I han dado su consentimiento a vincularse por las presentes  Cláusulas a fin de garantizar el cumplimiento del artículo 28, apartados 3 y 4, del Reglamento (UE) 2016/679.</w:t>
      </w:r>
    </w:p>
    <w:p>
      <w:pPr>
        <w:pStyle w:val="Normal1"/>
        <w:widowControl/>
        <w:numPr>
          <w:ilvl w:val="0"/>
          <w:numId w:val="4"/>
        </w:numPr>
        <w:tabs>
          <w:tab w:val="clear" w:pos="720"/>
          <w:tab w:val="left" w:pos="792" w:leader="none"/>
        </w:tabs>
        <w:spacing w:lineRule="auto" w:line="228" w:before="107" w:after="0"/>
        <w:ind w:hanging="288" w:left="792"/>
        <w:jc w:val="both"/>
        <w:rPr>
          <w:lang w:val="es-ES"/>
        </w:rPr>
      </w:pPr>
      <w:r>
        <w:rPr>
          <w:rFonts w:eastAsia="Arial Narrow" w:cs="Arial Narrow" w:ascii="Arial Narrow" w:hAnsi="Arial Narrow"/>
          <w:sz w:val="22"/>
          <w:szCs w:val="22"/>
          <w:highlight w:val="white"/>
          <w:lang w:val="es-ES"/>
        </w:rPr>
        <w:t xml:space="preserve">Las presentes Cláusulas se aplican al tratamiento de datos personales especificado en el </w:t>
      </w:r>
      <w:r>
        <w:rPr>
          <w:rFonts w:eastAsia="Arial Narrow" w:cs="Arial Narrow" w:ascii="Arial Narrow" w:hAnsi="Arial Narrow"/>
          <w:b/>
          <w:sz w:val="22"/>
          <w:szCs w:val="22"/>
          <w:highlight w:val="white"/>
          <w:lang w:val="es-ES"/>
        </w:rPr>
        <w:t>Apéndice I.</w:t>
      </w:r>
    </w:p>
    <w:p>
      <w:pPr>
        <w:pStyle w:val="Normal1"/>
        <w:widowControl/>
        <w:numPr>
          <w:ilvl w:val="0"/>
          <w:numId w:val="4"/>
        </w:numPr>
        <w:tabs>
          <w:tab w:val="clear" w:pos="720"/>
          <w:tab w:val="left" w:pos="792" w:leader="none"/>
        </w:tabs>
        <w:spacing w:lineRule="auto" w:line="228" w:before="102" w:after="0"/>
        <w:ind w:hanging="288" w:left="792"/>
        <w:jc w:val="both"/>
        <w:rPr>
          <w:lang w:val="es-ES"/>
        </w:rPr>
      </w:pPr>
      <w:r>
        <w:rPr>
          <w:rFonts w:eastAsia="Arial Narrow" w:cs="Arial Narrow" w:ascii="Arial Narrow" w:hAnsi="Arial Narrow"/>
          <w:sz w:val="22"/>
          <w:szCs w:val="22"/>
          <w:highlight w:val="white"/>
          <w:lang w:val="es-ES"/>
        </w:rPr>
        <w:t xml:space="preserve">Los </w:t>
      </w:r>
      <w:r>
        <w:rPr>
          <w:rFonts w:eastAsia="Arial Narrow" w:cs="Arial Narrow" w:ascii="Arial Narrow" w:hAnsi="Arial Narrow"/>
          <w:b/>
          <w:sz w:val="22"/>
          <w:szCs w:val="22"/>
          <w:highlight w:val="white"/>
          <w:lang w:val="es-ES"/>
        </w:rPr>
        <w:t>Apéndices I a III</w:t>
      </w:r>
      <w:r>
        <w:rPr>
          <w:rFonts w:eastAsia="Arial Narrow" w:cs="Arial Narrow" w:ascii="Arial Narrow" w:hAnsi="Arial Narrow"/>
          <w:sz w:val="22"/>
          <w:szCs w:val="22"/>
          <w:highlight w:val="white"/>
          <w:lang w:val="es-ES"/>
        </w:rPr>
        <w:t xml:space="preserve"> forman parte de las presentes Cláusulas. </w:t>
      </w:r>
    </w:p>
    <w:p>
      <w:pPr>
        <w:pStyle w:val="Normal1"/>
        <w:widowControl/>
        <w:numPr>
          <w:ilvl w:val="0"/>
          <w:numId w:val="4"/>
        </w:numPr>
        <w:spacing w:lineRule="auto" w:line="206" w:before="119" w:after="0"/>
        <w:ind w:hanging="288" w:left="792" w:right="504"/>
        <w:jc w:val="both"/>
        <w:rPr>
          <w:lang w:val="es-ES"/>
        </w:rPr>
      </w:pPr>
      <w:r>
        <w:rPr>
          <w:rFonts w:eastAsia="Arial Narrow" w:cs="Arial Narrow" w:ascii="Arial Narrow" w:hAnsi="Arial Narrow"/>
          <w:sz w:val="22"/>
          <w:szCs w:val="22"/>
          <w:highlight w:val="white"/>
          <w:lang w:val="es-ES"/>
        </w:rPr>
        <w:t>Las presentes Cláusulas se entienden sin perjuicio de las obligaciones a las que e</w:t>
      </w:r>
      <w:r>
        <w:rPr>
          <w:rFonts w:eastAsia="Arial Narrow" w:cs="Arial Narrow" w:ascii="Arial Narrow" w:hAnsi="Arial Narrow"/>
          <w:sz w:val="22"/>
          <w:szCs w:val="22"/>
          <w:lang w:val="es-ES"/>
        </w:rPr>
        <w:t>sté sujeto el responsable en virtud del Reglamento (UE) 2016/679.Las presentes Cláusulas no garantizan por sí mismas el cumplimiento de las obligaciones relativas a las transferencias internacionales contempladas en el capítulo V del Reglamento (UE) 2016/679.</w:t>
      </w:r>
    </w:p>
    <w:p>
      <w:pPr>
        <w:pStyle w:val="Normal1"/>
        <w:widowControl/>
        <w:spacing w:lineRule="auto" w:line="206" w:before="119" w:after="0"/>
        <w:ind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spacing w:lineRule="auto" w:line="206" w:before="119" w:after="0"/>
        <w:ind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spacing w:lineRule="auto" w:line="206" w:before="119" w:after="0"/>
        <w:ind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spacing w:lineRule="auto" w:line="206" w:before="119" w:after="0"/>
        <w:ind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spacing w:lineRule="auto" w:line="206" w:before="119" w:after="0"/>
        <w:ind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spacing w:lineRule="auto" w:line="206" w:before="119" w:after="0"/>
        <w:ind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spacing w:lineRule="auto" w:line="206" w:before="119" w:after="0"/>
        <w:ind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spacing w:lineRule="auto" w:line="206" w:before="119" w:after="0"/>
        <w:ind w:right="504"/>
        <w:jc w:val="center"/>
        <w:rPr>
          <w:lang w:val="es-ES"/>
        </w:rPr>
      </w:pPr>
      <w:r>
        <w:rPr>
          <w:rFonts w:eastAsia="Arial Narrow" w:cs="Arial Narrow" w:ascii="Arial Narrow" w:hAnsi="Arial Narrow"/>
          <w:i/>
          <w:sz w:val="22"/>
          <w:szCs w:val="22"/>
          <w:lang w:val="es-ES"/>
        </w:rPr>
        <w:t>Cláusula 2</w:t>
      </w:r>
    </w:p>
    <w:p>
      <w:pPr>
        <w:pStyle w:val="Normal1"/>
        <w:widowControl/>
        <w:spacing w:lineRule="auto" w:line="235" w:before="202" w:after="0"/>
        <w:jc w:val="center"/>
        <w:rPr>
          <w:lang w:val="es-ES"/>
        </w:rPr>
      </w:pPr>
      <w:r>
        <w:rPr>
          <w:rFonts w:eastAsia="Arial Narrow" w:cs="Arial Narrow" w:ascii="Arial Narrow" w:hAnsi="Arial Narrow"/>
          <w:b/>
          <w:i/>
          <w:sz w:val="22"/>
          <w:szCs w:val="22"/>
          <w:lang w:val="es-ES"/>
        </w:rPr>
        <w:t>Invariabilidad de las cláusulas</w:t>
      </w:r>
    </w:p>
    <w:p>
      <w:pPr>
        <w:pStyle w:val="Normal1"/>
        <w:widowControl/>
        <w:numPr>
          <w:ilvl w:val="0"/>
          <w:numId w:val="5"/>
        </w:numPr>
        <w:tabs>
          <w:tab w:val="clear" w:pos="720"/>
          <w:tab w:val="left" w:pos="792" w:leader="none"/>
        </w:tabs>
        <w:spacing w:lineRule="auto" w:line="216" w:before="112" w:after="0"/>
        <w:ind w:hanging="288" w:left="792" w:right="504"/>
        <w:jc w:val="both"/>
        <w:rPr>
          <w:lang w:val="es-ES"/>
        </w:rPr>
      </w:pPr>
      <w:r>
        <w:rPr>
          <w:rFonts w:eastAsia="Arial Narrow" w:cs="Arial Narrow" w:ascii="Arial Narrow" w:hAnsi="Arial Narrow"/>
          <w:sz w:val="22"/>
          <w:szCs w:val="22"/>
          <w:lang w:val="es-ES"/>
        </w:rPr>
        <w:t>Las partes se comprometen a no modificar las presentes Cláusulas, excepto para añadir o actualizar información en los Apéndices.</w:t>
      </w:r>
    </w:p>
    <w:p>
      <w:pPr>
        <w:pStyle w:val="Normal1"/>
        <w:widowControl/>
        <w:numPr>
          <w:ilvl w:val="0"/>
          <w:numId w:val="5"/>
        </w:numPr>
        <w:tabs>
          <w:tab w:val="clear" w:pos="720"/>
          <w:tab w:val="left" w:pos="792" w:leader="none"/>
        </w:tabs>
        <w:spacing w:lineRule="auto" w:line="206" w:before="119" w:after="0"/>
        <w:ind w:hanging="288" w:left="792" w:right="504"/>
        <w:jc w:val="both"/>
        <w:rPr>
          <w:lang w:val="es-ES"/>
        </w:rPr>
      </w:pPr>
      <w:r>
        <w:rPr>
          <w:rFonts w:eastAsia="Arial Narrow" w:cs="Arial Narrow" w:ascii="Arial Narrow" w:hAnsi="Arial Narrow"/>
          <w:sz w:val="22"/>
          <w:szCs w:val="22"/>
          <w:lang w:val="es-ES"/>
        </w:rPr>
        <w:t>Esto no es óbice para que las partes incluyan en un contrato más amplio las presentes Cláusulas, ni para que añadan otras cláusulas o garantías adicionales siempre que no contradigan, directa o indirectamente, las presentes Cláusulas ni perjudiquen los derechos o libertades fundamentales de los interesados.</w:t>
      </w:r>
    </w:p>
    <w:p>
      <w:pPr>
        <w:pStyle w:val="Normal1"/>
        <w:widowControl/>
        <w:spacing w:lineRule="auto" w:line="427" w:before="224" w:after="0"/>
        <w:jc w:val="center"/>
        <w:rPr>
          <w:lang w:val="es-ES"/>
        </w:rPr>
      </w:pPr>
      <w:r>
        <w:rPr>
          <w:rFonts w:eastAsia="Arial Narrow" w:cs="Arial Narrow" w:ascii="Arial Narrow" w:hAnsi="Arial Narrow"/>
          <w:i/>
          <w:sz w:val="22"/>
          <w:szCs w:val="22"/>
          <w:lang w:val="es-ES"/>
        </w:rPr>
        <w:t>Cláusula 3</w:t>
        <w:br/>
      </w:r>
      <w:r>
        <w:rPr>
          <w:rFonts w:eastAsia="Arial Narrow" w:cs="Arial Narrow" w:ascii="Arial Narrow" w:hAnsi="Arial Narrow"/>
          <w:b/>
          <w:i/>
          <w:sz w:val="22"/>
          <w:szCs w:val="22"/>
          <w:lang w:val="es-ES"/>
        </w:rPr>
        <w:t>Interpretación</w:t>
      </w:r>
    </w:p>
    <w:p>
      <w:pPr>
        <w:pStyle w:val="Normal1"/>
        <w:widowControl/>
        <w:numPr>
          <w:ilvl w:val="0"/>
          <w:numId w:val="6"/>
        </w:numPr>
        <w:tabs>
          <w:tab w:val="clear" w:pos="720"/>
          <w:tab w:val="left" w:pos="792" w:leader="none"/>
        </w:tabs>
        <w:spacing w:lineRule="auto" w:line="216" w:before="113" w:after="0"/>
        <w:ind w:hanging="288" w:left="792" w:right="504"/>
        <w:jc w:val="both"/>
        <w:rPr>
          <w:lang w:val="es-ES"/>
        </w:rPr>
      </w:pPr>
      <w:r>
        <w:rPr>
          <w:rFonts w:eastAsia="Arial Narrow" w:cs="Arial Narrow" w:ascii="Arial Narrow" w:hAnsi="Arial Narrow"/>
          <w:sz w:val="22"/>
          <w:szCs w:val="22"/>
          <w:lang w:val="es-ES"/>
        </w:rPr>
        <w:t>Cuando en las presentes Cláusulas se utilizan términos definidos en el Reglamento (UE) 2016/679, se entiende que tienen el mismo significado que en dicho Reglamento.</w:t>
      </w:r>
    </w:p>
    <w:p>
      <w:pPr>
        <w:pStyle w:val="Normal1"/>
        <w:widowControl/>
        <w:numPr>
          <w:ilvl w:val="0"/>
          <w:numId w:val="6"/>
        </w:numPr>
        <w:tabs>
          <w:tab w:val="clear" w:pos="720"/>
          <w:tab w:val="left" w:pos="792" w:leader="none"/>
        </w:tabs>
        <w:spacing w:lineRule="auto" w:line="216" w:before="115" w:after="0"/>
        <w:ind w:hanging="288" w:left="792" w:right="504"/>
        <w:jc w:val="both"/>
        <w:rPr>
          <w:lang w:val="es-ES"/>
        </w:rPr>
      </w:pPr>
      <w:r>
        <w:rPr>
          <w:rFonts w:eastAsia="Arial Narrow" w:cs="Arial Narrow" w:ascii="Arial Narrow" w:hAnsi="Arial Narrow"/>
          <w:sz w:val="22"/>
          <w:szCs w:val="22"/>
          <w:lang w:val="es-ES"/>
        </w:rPr>
        <w:t>Las presentes Cláusulas deberán leerse e interpretarse con arreglo a las disposiciones del Reglamento (UE) 2016/679.</w:t>
      </w:r>
    </w:p>
    <w:p>
      <w:pPr>
        <w:pStyle w:val="Normal1"/>
        <w:widowControl/>
        <w:numPr>
          <w:ilvl w:val="0"/>
          <w:numId w:val="6"/>
        </w:numPr>
        <w:tabs>
          <w:tab w:val="clear" w:pos="720"/>
          <w:tab w:val="left" w:pos="792" w:leader="none"/>
        </w:tabs>
        <w:spacing w:lineRule="auto" w:line="206" w:before="119" w:after="0"/>
        <w:ind w:hanging="288" w:left="792" w:right="504"/>
        <w:jc w:val="both"/>
        <w:rPr>
          <w:lang w:val="es-ES"/>
        </w:rPr>
      </w:pPr>
      <w:r>
        <w:rPr>
          <w:rFonts w:eastAsia="Arial Narrow" w:cs="Arial Narrow" w:ascii="Arial Narrow" w:hAnsi="Arial Narrow"/>
          <w:sz w:val="22"/>
          <w:szCs w:val="22"/>
          <w:lang w:val="es-ES"/>
        </w:rPr>
        <w:t>No se podrán realizar interpretaciones de las presentes Cláusulas que entren en conflicto con los derechos y obligaciones establecidos en el Reglamento (UE) 2016/679.</w:t>
      </w:r>
    </w:p>
    <w:p>
      <w:pPr>
        <w:pStyle w:val="Normal1"/>
        <w:widowControl/>
        <w:spacing w:lineRule="auto" w:line="432" w:before="214" w:after="0"/>
        <w:jc w:val="center"/>
        <w:rPr>
          <w:lang w:val="es-ES"/>
        </w:rPr>
      </w:pPr>
      <w:r>
        <w:rPr>
          <w:rFonts w:eastAsia="Arial Narrow" w:cs="Arial Narrow" w:ascii="Arial Narrow" w:hAnsi="Arial Narrow"/>
          <w:i/>
          <w:sz w:val="22"/>
          <w:szCs w:val="22"/>
          <w:lang w:val="es-ES"/>
        </w:rPr>
        <w:t>Cláusula 4</w:t>
        <w:br/>
      </w:r>
      <w:r>
        <w:rPr>
          <w:rFonts w:eastAsia="Arial Narrow" w:cs="Arial Narrow" w:ascii="Arial Narrow" w:hAnsi="Arial Narrow"/>
          <w:b/>
          <w:i/>
          <w:sz w:val="22"/>
          <w:szCs w:val="22"/>
          <w:lang w:val="es-ES"/>
        </w:rPr>
        <w:t>Jerarquía</w:t>
      </w:r>
    </w:p>
    <w:p>
      <w:pPr>
        <w:pStyle w:val="Normal1"/>
        <w:widowControl/>
        <w:spacing w:lineRule="auto" w:line="206" w:before="117" w:after="0"/>
        <w:ind w:hanging="0" w:left="504" w:right="504"/>
        <w:jc w:val="both"/>
        <w:rPr>
          <w:lang w:val="es-ES"/>
        </w:rPr>
      </w:pPr>
      <w:r>
        <w:rPr>
          <w:rFonts w:eastAsia="Arial Narrow" w:cs="Arial Narrow" w:ascii="Arial Narrow" w:hAnsi="Arial Narrow"/>
          <w:sz w:val="22"/>
          <w:szCs w:val="22"/>
          <w:lang w:val="es-ES"/>
        </w:rPr>
        <w:t>En caso de contradicción entre las presentes Cláusulas y las disposiciones de acuerdos conexos entre las partes que estuvieren en vigor en el momento en que se pactare o comenzare a aplicarse las presentes Cláusulas, prevalecerán las presentes Cláusulas.</w:t>
      </w:r>
    </w:p>
    <w:p>
      <w:pPr>
        <w:pStyle w:val="Normal1"/>
        <w:widowControl/>
        <w:spacing w:lineRule="auto" w:line="206" w:before="117" w:after="0"/>
        <w:ind w:hanging="0" w:left="4824" w:right="504"/>
        <w:jc w:val="both"/>
        <w:rPr>
          <w:rFonts w:ascii="Arial Narrow" w:hAnsi="Arial Narrow" w:eastAsia="Arial Narrow" w:cs="Arial Narrow"/>
          <w:i/>
          <w:i/>
          <w:sz w:val="22"/>
          <w:szCs w:val="22"/>
          <w:lang w:val="es-ES"/>
        </w:rPr>
      </w:pPr>
      <w:r>
        <w:rPr>
          <w:rFonts w:eastAsia="Arial Narrow" w:cs="Arial Narrow" w:ascii="Arial Narrow" w:hAnsi="Arial Narrow"/>
          <w:i/>
          <w:sz w:val="22"/>
          <w:szCs w:val="22"/>
          <w:lang w:val="es-ES"/>
        </w:rPr>
      </w:r>
    </w:p>
    <w:p>
      <w:pPr>
        <w:pStyle w:val="Normal1"/>
        <w:widowControl/>
        <w:spacing w:lineRule="auto" w:line="206" w:before="117" w:after="0"/>
        <w:ind w:hanging="60" w:left="3826" w:right="504"/>
        <w:jc w:val="both"/>
        <w:rPr>
          <w:lang w:val="es-ES"/>
        </w:rPr>
      </w:pPr>
      <w:r>
        <w:rPr>
          <w:rFonts w:eastAsia="Arial Narrow" w:cs="Arial Narrow" w:ascii="Arial Narrow" w:hAnsi="Arial Narrow"/>
          <w:i/>
          <w:sz w:val="22"/>
          <w:szCs w:val="22"/>
          <w:lang w:val="es-ES"/>
        </w:rPr>
        <w:t xml:space="preserve">      </w:t>
      </w:r>
      <w:r>
        <w:rPr>
          <w:rFonts w:eastAsia="Arial Narrow" w:cs="Arial Narrow" w:ascii="Arial Narrow" w:hAnsi="Arial Narrow"/>
          <w:i/>
          <w:sz w:val="22"/>
          <w:szCs w:val="22"/>
          <w:lang w:val="es-ES"/>
        </w:rPr>
        <w:t>C</w:t>
      </w:r>
      <w:r>
        <mc:AlternateContent>
          <mc:Choice Requires="wps">
            <w:drawing>
              <wp:anchor behindDoc="0" distT="5715" distB="5080" distL="5080" distR="5715" simplePos="0" locked="0" layoutInCell="0" allowOverlap="1" relativeHeight="18">
                <wp:simplePos x="0" y="0"/>
                <wp:positionH relativeFrom="page">
                  <wp:posOffset>-30480</wp:posOffset>
                </wp:positionH>
                <wp:positionV relativeFrom="page">
                  <wp:posOffset>-23495</wp:posOffset>
                </wp:positionV>
                <wp:extent cx="60325" cy="60325"/>
                <wp:effectExtent l="5080" t="5715" r="5715" b="5080"/>
                <wp:wrapNone/>
                <wp:docPr id="1" name="Forma1"/>
                <a:graphic xmlns:a="http://schemas.openxmlformats.org/drawingml/2006/main">
                  <a:graphicData uri="http://schemas.microsoft.com/office/word/2010/wordprocessingShape">
                    <wps:wsp>
                      <wps:cNvSpPr/>
                      <wps:spPr>
                        <a:xfrm>
                          <a:off x="0" y="0"/>
                          <a:ext cx="60480" cy="60480"/>
                        </a:xfrm>
                        <a:prstGeom prst="straightConnector1">
                          <a:avLst/>
                        </a:prstGeom>
                        <a:solidFill>
                          <a:srgbClr val="ffffff"/>
                        </a:solidFill>
                        <a:ln w="9525">
                          <a:solidFill>
                            <a:srgbClr val="000000"/>
                          </a:solidFill>
                          <a:round/>
                        </a:ln>
                      </wps:spPr>
                      <wps:style>
                        <a:lnRef idx="0"/>
                        <a:fillRef idx="0"/>
                        <a:effectRef idx="0"/>
                        <a:fontRef idx="minor"/>
                      </wps:style>
                      <wps:bodyPr/>
                    </wps:wsp>
                  </a:graphicData>
                </a:graphic>
              </wp:anchor>
            </w:drawing>
          </mc:Choice>
          <mc:Fallback>
            <w:pict>
              <v:shapetype id="_x0000_t32" coordsize="21600,21600" o:spt="32" path="m,l21600,21600nfe">
                <v:stroke joinstyle="miter"/>
                <v:path gradientshapeok="t" o:connecttype="rect" textboxrect="0,0,21600,21600"/>
              </v:shapetype>
              <v:shape id="shape_0" ID="Forma1" path="m0,0l-2147483648,-2147483647e" fillcolor="white" stroked="t" o:allowincell="f" style="position:absolute;margin-left:-2.4pt;margin-top:-1.85pt;width:4.7pt;height:4.7pt;mso-wrap-style:none;v-text-anchor:middle;mso-position-horizontal-relative:page;mso-position-vertical-relative:page" type="_x0000_t32">
                <v:fill o:detectmouseclick="t" type="solid" color2="black"/>
                <v:stroke color="black" weight="9360" joinstyle="round" endcap="flat"/>
                <w10:wrap type="none"/>
              </v:shape>
            </w:pict>
          </mc:Fallback>
        </mc:AlternateContent>
      </w:r>
      <w:r>
        <w:rPr>
          <w:rFonts w:eastAsia="Arial Narrow" w:cs="Arial Narrow" w:ascii="Arial Narrow" w:hAnsi="Arial Narrow"/>
          <w:i/>
          <w:sz w:val="22"/>
          <w:szCs w:val="22"/>
          <w:lang w:val="es-ES"/>
        </w:rPr>
        <w:t xml:space="preserve">láusula 5 </w:t>
      </w:r>
    </w:p>
    <w:p>
      <w:pPr>
        <w:pStyle w:val="Normal1"/>
        <w:widowControl/>
        <w:spacing w:lineRule="auto" w:line="218" w:before="320" w:after="0"/>
        <w:jc w:val="center"/>
        <w:rPr>
          <w:lang w:val="es-ES"/>
        </w:rPr>
      </w:pPr>
      <w:r>
        <w:rPr>
          <w:rFonts w:eastAsia="Arial Narrow" w:cs="Arial Narrow" w:ascii="Arial Narrow" w:hAnsi="Arial Narrow"/>
          <w:i/>
          <w:sz w:val="22"/>
          <w:szCs w:val="22"/>
          <w:lang w:val="es-ES"/>
        </w:rPr>
        <w:t xml:space="preserve">(sin contenido)  </w:t>
      </w:r>
    </w:p>
    <w:p>
      <w:pPr>
        <w:pStyle w:val="Normal1"/>
        <w:widowControl/>
        <w:spacing w:lineRule="auto" w:line="218" w:before="320" w:after="0"/>
        <w:jc w:val="center"/>
        <w:rPr>
          <w:rFonts w:ascii="Arial Narrow" w:hAnsi="Arial Narrow" w:eastAsia="Arial Narrow" w:cs="Arial Narrow"/>
          <w:i/>
          <w:i/>
          <w:sz w:val="22"/>
          <w:szCs w:val="22"/>
          <w:lang w:val="es-ES"/>
        </w:rPr>
      </w:pPr>
      <w:r>
        <w:rPr>
          <w:rFonts w:eastAsia="Arial Narrow" w:cs="Arial Narrow" w:ascii="Arial Narrow" w:hAnsi="Arial Narrow"/>
          <w:i/>
          <w:sz w:val="22"/>
          <w:szCs w:val="22"/>
          <w:lang w:val="es-ES"/>
        </w:rPr>
      </w:r>
    </w:p>
    <w:p>
      <w:pPr>
        <w:pStyle w:val="Normal1"/>
        <w:widowControl/>
        <w:spacing w:lineRule="auto" w:line="218" w:before="320" w:after="0"/>
        <w:jc w:val="center"/>
        <w:rPr>
          <w:lang w:val="es-ES"/>
        </w:rPr>
      </w:pPr>
      <w:r>
        <w:rPr>
          <w:rFonts w:eastAsia="Arial Narrow" w:cs="Arial Narrow" w:ascii="Arial Narrow" w:hAnsi="Arial Narrow"/>
          <w:sz w:val="22"/>
          <w:szCs w:val="22"/>
          <w:lang w:val="es-ES"/>
        </w:rPr>
        <w:t>SECCIÓN II</w:t>
      </w:r>
    </w:p>
    <w:p>
      <w:pPr>
        <w:pStyle w:val="Normal1"/>
        <w:widowControl/>
        <w:spacing w:lineRule="auto" w:line="192" w:before="219" w:after="0"/>
        <w:jc w:val="center"/>
        <w:rPr>
          <w:lang w:val="es-ES"/>
        </w:rPr>
      </w:pPr>
      <w:r>
        <w:rPr>
          <w:rFonts w:eastAsia="Arial Narrow" w:cs="Arial Narrow" w:ascii="Arial Narrow" w:hAnsi="Arial Narrow"/>
          <w:b/>
          <w:sz w:val="22"/>
          <w:szCs w:val="22"/>
          <w:lang w:val="es-ES"/>
        </w:rPr>
        <w:t>OBLIGACIONES DE LAS PARTES</w:t>
      </w:r>
    </w:p>
    <w:p>
      <w:pPr>
        <w:pStyle w:val="Normal1"/>
        <w:widowControl/>
        <w:spacing w:lineRule="auto" w:line="218" w:before="449" w:after="0"/>
        <w:jc w:val="center"/>
        <w:rPr>
          <w:lang w:val="es-ES"/>
        </w:rPr>
      </w:pPr>
      <w:r>
        <w:rPr>
          <w:rFonts w:eastAsia="Arial Narrow" w:cs="Arial Narrow" w:ascii="Arial Narrow" w:hAnsi="Arial Narrow"/>
          <w:i/>
          <w:sz w:val="22"/>
          <w:szCs w:val="22"/>
          <w:lang w:val="es-ES"/>
        </w:rPr>
        <w:t>Cláusula 6</w:t>
      </w:r>
    </w:p>
    <w:p>
      <w:pPr>
        <w:pStyle w:val="Normal1"/>
        <w:widowControl/>
        <w:spacing w:lineRule="auto" w:line="235" w:before="201" w:after="0"/>
        <w:jc w:val="center"/>
        <w:rPr>
          <w:lang w:val="es-ES"/>
        </w:rPr>
      </w:pPr>
      <w:r>
        <w:rPr>
          <w:rFonts w:eastAsia="Arial Narrow" w:cs="Arial Narrow" w:ascii="Arial Narrow" w:hAnsi="Arial Narrow"/>
          <w:b/>
          <w:i/>
          <w:sz w:val="22"/>
          <w:szCs w:val="22"/>
          <w:lang w:val="es-ES"/>
        </w:rPr>
        <w:t>Descripción del tratamiento o tratamientos</w:t>
      </w:r>
    </w:p>
    <w:p>
      <w:pPr>
        <w:pStyle w:val="Normal1"/>
        <w:widowControl/>
        <w:spacing w:lineRule="auto" w:line="216" w:before="122" w:after="0"/>
        <w:ind w:hanging="0" w:left="504" w:right="504"/>
        <w:jc w:val="both"/>
        <w:rPr>
          <w:lang w:val="es-ES"/>
        </w:rPr>
      </w:pPr>
      <w:r>
        <w:rPr>
          <w:rFonts w:eastAsia="Arial Narrow" w:cs="Arial Narrow" w:ascii="Arial Narrow" w:hAnsi="Arial Narrow"/>
          <w:sz w:val="22"/>
          <w:szCs w:val="22"/>
          <w:lang w:val="es-ES"/>
        </w:rPr>
        <w:t xml:space="preserve">En el </w:t>
      </w:r>
      <w:r>
        <w:rPr>
          <w:rFonts w:eastAsia="Arial Narrow" w:cs="Arial Narrow" w:ascii="Arial Narrow" w:hAnsi="Arial Narrow"/>
          <w:b/>
          <w:sz w:val="22"/>
          <w:szCs w:val="22"/>
          <w:lang w:val="es-ES"/>
        </w:rPr>
        <w:t xml:space="preserve">Apéndice I </w:t>
      </w:r>
      <w:r>
        <w:rPr>
          <w:rFonts w:eastAsia="Arial Narrow" w:cs="Arial Narrow" w:ascii="Arial Narrow" w:hAnsi="Arial Narrow"/>
          <w:sz w:val="22"/>
          <w:szCs w:val="22"/>
          <w:lang w:val="es-ES"/>
        </w:rPr>
        <w:t>se especifican los pormenores de las operaciones de tratamiento y, en particular, las categorías de datos personales y los fines para los que se tratan los datos personales por cuenta del responsable.</w:t>
      </w:r>
    </w:p>
    <w:p>
      <w:pPr>
        <w:pStyle w:val="Normal1"/>
        <w:widowControl/>
        <w:spacing w:lineRule="auto" w:line="218" w:before="433" w:after="0"/>
        <w:jc w:val="center"/>
        <w:rPr>
          <w:lang w:val="es-ES"/>
        </w:rPr>
      </w:pPr>
      <w:r>
        <w:rPr>
          <w:rFonts w:eastAsia="Arial Narrow" w:cs="Arial Narrow" w:ascii="Arial Narrow" w:hAnsi="Arial Narrow"/>
          <w:i/>
          <w:sz w:val="22"/>
          <w:szCs w:val="22"/>
          <w:lang w:val="es-ES"/>
        </w:rPr>
        <w:t>Cláusula 7</w:t>
      </w:r>
    </w:p>
    <w:p>
      <w:pPr>
        <w:pStyle w:val="Normal1"/>
        <w:widowControl/>
        <w:spacing w:lineRule="auto" w:line="235" w:before="206" w:after="0"/>
        <w:jc w:val="center"/>
        <w:rPr>
          <w:lang w:val="es-ES"/>
        </w:rPr>
      </w:pPr>
      <w:r>
        <w:rPr>
          <w:rFonts w:eastAsia="Arial Narrow" w:cs="Arial Narrow" w:ascii="Arial Narrow" w:hAnsi="Arial Narrow"/>
          <w:b/>
          <w:i/>
          <w:sz w:val="22"/>
          <w:szCs w:val="22"/>
          <w:lang w:val="es-ES"/>
        </w:rPr>
        <w:t>Obligaciones de las partes</w:t>
      </w:r>
    </w:p>
    <w:p>
      <w:pPr>
        <w:pStyle w:val="Normal1"/>
        <w:widowControl/>
        <w:spacing w:lineRule="auto" w:line="235" w:before="204" w:after="0"/>
        <w:ind w:hanging="0" w:left="504"/>
        <w:rPr>
          <w:lang w:val="es-ES"/>
        </w:rPr>
      </w:pPr>
      <w:r>
        <w:rPr>
          <w:rFonts w:eastAsia="Arial Narrow" w:cs="Arial Narrow" w:ascii="Arial Narrow" w:hAnsi="Arial Narrow"/>
          <w:sz w:val="22"/>
          <w:szCs w:val="22"/>
          <w:lang w:val="es-ES"/>
        </w:rPr>
        <w:t xml:space="preserve">7.1. </w:t>
      </w:r>
      <w:r>
        <w:rPr>
          <w:rFonts w:eastAsia="Arial Narrow" w:cs="Arial Narrow" w:ascii="Arial Narrow" w:hAnsi="Arial Narrow"/>
          <w:b/>
          <w:sz w:val="22"/>
          <w:szCs w:val="22"/>
          <w:lang w:val="es-ES"/>
        </w:rPr>
        <w:t>Instrucciones</w:t>
      </w:r>
    </w:p>
    <w:p>
      <w:pPr>
        <w:pStyle w:val="Normal1"/>
        <w:widowControl/>
        <w:numPr>
          <w:ilvl w:val="0"/>
          <w:numId w:val="9"/>
        </w:numPr>
        <w:tabs>
          <w:tab w:val="clear" w:pos="720"/>
          <w:tab w:val="left" w:pos="792" w:leader="none"/>
        </w:tabs>
        <w:spacing w:lineRule="auto" w:line="206" w:before="121" w:after="0"/>
        <w:ind w:hanging="288" w:left="792" w:right="504"/>
        <w:jc w:val="both"/>
        <w:rPr>
          <w:lang w:val="es-ES"/>
        </w:rPr>
      </w:pPr>
      <w:r>
        <w:rPr>
          <w:rFonts w:eastAsia="Arial Narrow" w:cs="Arial Narrow" w:ascii="Arial Narrow" w:hAnsi="Arial Narrow"/>
          <w:sz w:val="22"/>
          <w:szCs w:val="22"/>
          <w:lang w:val="es-ES"/>
        </w:rPr>
        <w:t>El encargado tratará los datos personales únicamente siguiendo instrucciones documentadas del responsable, salvo que esté obligado a ello en virtud del Derecho de la Unión o de los Estados miembros que se aplique al encargado. En tal caso, el encargado informará al responsable de esa exigencia legal previa al tratamiento, salvo que tal Derecho lo prohíba por razones importantes de interés público. El responsable también podrá dar instrucciones ulteriores en cualquier momento del período de tratamiento de los datos personales. Dichas instrucciones deberán estar siempre documentadas.</w:t>
      </w:r>
    </w:p>
    <w:p>
      <w:pPr>
        <w:pStyle w:val="Normal1"/>
        <w:widowControl/>
        <w:numPr>
          <w:ilvl w:val="0"/>
          <w:numId w:val="9"/>
        </w:numPr>
        <w:tabs>
          <w:tab w:val="clear" w:pos="720"/>
          <w:tab w:val="left" w:pos="792" w:leader="none"/>
        </w:tabs>
        <w:spacing w:lineRule="auto" w:line="204" w:before="130" w:after="0"/>
        <w:ind w:hanging="288" w:left="792" w:right="504"/>
        <w:jc w:val="both"/>
        <w:rPr>
          <w:lang w:val="es-ES"/>
        </w:rPr>
      </w:pPr>
      <w:r>
        <w:rPr>
          <w:rFonts w:eastAsia="Arial Narrow" w:cs="Arial Narrow" w:ascii="Arial Narrow" w:hAnsi="Arial Narrow"/>
          <w:sz w:val="22"/>
          <w:szCs w:val="22"/>
          <w:lang w:val="es-ES"/>
        </w:rPr>
        <w:t>El encargado informará inmediatamente al responsable si las instrucciones dadas por el responsable infringen, a juicio del encargado, el Reglamento (UE) 2016/679, o las disposiciones aplicables del Derecho de la Unión o de los Estados miembros en materia de protección de datos.</w:t>
      </w:r>
    </w:p>
    <w:p>
      <w:pPr>
        <w:pStyle w:val="Normal1"/>
        <w:widowControl/>
        <w:spacing w:lineRule="auto" w:line="235" w:before="303" w:after="0"/>
        <w:ind w:hanging="0" w:left="504"/>
        <w:rPr>
          <w:lang w:val="es-ES"/>
        </w:rPr>
      </w:pPr>
      <w:r>
        <w:rPr>
          <w:rFonts w:eastAsia="Arial Narrow" w:cs="Arial Narrow" w:ascii="Arial Narrow" w:hAnsi="Arial Narrow"/>
          <w:sz w:val="22"/>
          <w:szCs w:val="22"/>
          <w:lang w:val="es-ES"/>
        </w:rPr>
        <w:t xml:space="preserve">7.2. </w:t>
      </w:r>
      <w:r>
        <w:rPr>
          <w:rFonts w:eastAsia="Arial Narrow" w:cs="Arial Narrow" w:ascii="Arial Narrow" w:hAnsi="Arial Narrow"/>
          <w:b/>
          <w:sz w:val="22"/>
          <w:szCs w:val="22"/>
          <w:lang w:val="es-ES"/>
        </w:rPr>
        <w:t>Limitación de la finalidad</w:t>
      </w:r>
    </w:p>
    <w:p>
      <w:pPr>
        <w:pStyle w:val="Normal1"/>
        <w:widowControl/>
        <w:spacing w:lineRule="auto" w:line="204" w:before="127" w:after="0"/>
        <w:ind w:hanging="0" w:left="504" w:right="504"/>
        <w:jc w:val="both"/>
        <w:rPr>
          <w:lang w:val="es-ES"/>
        </w:rPr>
      </w:pPr>
      <w:r>
        <w:rPr>
          <w:rFonts w:eastAsia="Arial Narrow" w:cs="Arial Narrow" w:ascii="Arial Narrow" w:hAnsi="Arial Narrow"/>
          <w:sz w:val="22"/>
          <w:szCs w:val="22"/>
          <w:lang w:val="es-ES"/>
        </w:rPr>
        <w:t xml:space="preserve">El encargado tratará los datos personales únicamente para los fines específicos del tratamiento indicados en el </w:t>
      </w:r>
      <w:r>
        <w:rPr>
          <w:rFonts w:eastAsia="Arial Narrow" w:cs="Arial Narrow" w:ascii="Arial Narrow" w:hAnsi="Arial Narrow"/>
          <w:b/>
          <w:sz w:val="22"/>
          <w:szCs w:val="22"/>
          <w:lang w:val="es-ES"/>
        </w:rPr>
        <w:t>Apéndice I</w:t>
      </w:r>
      <w:r>
        <w:rPr>
          <w:rFonts w:eastAsia="Arial Narrow" w:cs="Arial Narrow" w:ascii="Arial Narrow" w:hAnsi="Arial Narrow"/>
          <w:sz w:val="22"/>
          <w:szCs w:val="22"/>
          <w:lang w:val="es-ES"/>
        </w:rPr>
        <w:t>,salvo cuando siga instrucciones adicionales del responsable.</w:t>
      </w:r>
    </w:p>
    <w:p>
      <w:pPr>
        <w:pStyle w:val="Normal1"/>
        <w:widowControl/>
        <w:spacing w:lineRule="auto" w:line="235" w:before="302" w:after="0"/>
        <w:ind w:hanging="0" w:left="504"/>
        <w:rPr>
          <w:lang w:val="es-ES"/>
        </w:rPr>
      </w:pPr>
      <w:r>
        <w:rPr>
          <w:rFonts w:eastAsia="Arial Narrow" w:cs="Arial Narrow" w:ascii="Arial Narrow" w:hAnsi="Arial Narrow"/>
          <w:sz w:val="22"/>
          <w:szCs w:val="22"/>
          <w:lang w:val="es-ES"/>
        </w:rPr>
        <w:t xml:space="preserve">7.3. </w:t>
      </w:r>
      <w:r>
        <w:rPr>
          <w:rFonts w:eastAsia="Arial Narrow" w:cs="Arial Narrow" w:ascii="Arial Narrow" w:hAnsi="Arial Narrow"/>
          <w:b/>
          <w:sz w:val="22"/>
          <w:szCs w:val="22"/>
          <w:lang w:val="es-ES"/>
        </w:rPr>
        <w:t>Duración del tratamiento de datos personales</w:t>
      </w:r>
    </w:p>
    <w:p>
      <w:pPr>
        <w:pStyle w:val="Normal1"/>
        <w:widowControl/>
        <w:ind w:hanging="0" w:left="504" w:right="450"/>
        <w:rPr>
          <w:lang w:val="es-ES"/>
        </w:rPr>
      </w:pPr>
      <w:r>
        <w:rPr>
          <w:rFonts w:eastAsia="Arial Narrow" w:cs="Arial Narrow" w:ascii="Arial Narrow" w:hAnsi="Arial Narrow"/>
          <w:sz w:val="22"/>
          <w:szCs w:val="22"/>
          <w:lang w:val="es-ES"/>
        </w:rPr>
        <w:t xml:space="preserve">El tratamiento por parte del encargado solo se realizará durante el período especificado en el </w:t>
      </w:r>
      <w:r>
        <w:rPr>
          <w:rFonts w:eastAsia="Arial Narrow" w:cs="Arial Narrow" w:ascii="Arial Narrow" w:hAnsi="Arial Narrow"/>
          <w:b/>
          <w:sz w:val="22"/>
          <w:szCs w:val="22"/>
          <w:lang w:val="es-ES"/>
        </w:rPr>
        <w:t>Apéndice I.</w:t>
      </w:r>
    </w:p>
    <w:p>
      <w:pPr>
        <w:pStyle w:val="Normal1"/>
        <w:widowControl/>
        <w:ind w:hanging="0" w:left="504" w:right="450"/>
        <w:rPr>
          <w:rFonts w:ascii="Arial Narrow" w:hAnsi="Arial Narrow" w:eastAsia="Arial Narrow" w:cs="Arial Narrow"/>
          <w:b/>
          <w:sz w:val="22"/>
          <w:szCs w:val="22"/>
          <w:lang w:val="es-ES"/>
        </w:rPr>
      </w:pPr>
      <w:r>
        <w:rPr>
          <w:rFonts w:eastAsia="Arial Narrow" w:cs="Arial Narrow" w:ascii="Arial Narrow" w:hAnsi="Arial Narrow"/>
          <w:b/>
          <w:sz w:val="22"/>
          <w:szCs w:val="22"/>
          <w:lang w:val="es-ES"/>
        </w:rPr>
      </w:r>
    </w:p>
    <w:p>
      <w:pPr>
        <w:pStyle w:val="Normal1"/>
        <w:widowControl/>
        <w:spacing w:lineRule="auto" w:line="434"/>
        <w:ind w:hanging="0" w:left="504" w:right="2088"/>
        <w:rPr>
          <w:lang w:val="es-ES"/>
        </w:rPr>
      </w:pPr>
      <w:r>
        <w:rPr>
          <w:rFonts w:eastAsia="Arial Narrow" w:cs="Arial Narrow" w:ascii="Arial Narrow" w:hAnsi="Arial Narrow"/>
          <w:sz w:val="22"/>
          <w:szCs w:val="22"/>
          <w:lang w:val="es-ES"/>
        </w:rPr>
        <w:t xml:space="preserve">7.4. </w:t>
      </w:r>
      <w:r>
        <w:rPr>
          <w:rFonts w:eastAsia="Arial Narrow" w:cs="Arial Narrow" w:ascii="Arial Narrow" w:hAnsi="Arial Narrow"/>
          <w:b/>
          <w:sz w:val="22"/>
          <w:szCs w:val="22"/>
          <w:lang w:val="es-ES"/>
        </w:rPr>
        <w:t>Seguridad del tratamiento</w:t>
      </w:r>
    </w:p>
    <w:p>
      <w:pPr>
        <w:pStyle w:val="Normal1"/>
        <w:widowControl/>
        <w:numPr>
          <w:ilvl w:val="0"/>
          <w:numId w:val="10"/>
        </w:numPr>
        <w:tabs>
          <w:tab w:val="clear" w:pos="720"/>
          <w:tab w:val="left" w:pos="792" w:leader="none"/>
        </w:tabs>
        <w:spacing w:lineRule="auto" w:line="206" w:before="131" w:after="0"/>
        <w:ind w:hanging="288" w:left="792" w:right="504"/>
        <w:jc w:val="both"/>
        <w:rPr>
          <w:lang w:val="es-ES"/>
        </w:rPr>
      </w:pPr>
      <w:r>
        <w:rPr>
          <w:rFonts w:eastAsia="Arial Narrow" w:cs="Arial Narrow" w:ascii="Arial Narrow" w:hAnsi="Arial Narrow"/>
          <w:sz w:val="22"/>
          <w:szCs w:val="22"/>
          <w:lang w:val="es-ES"/>
        </w:rPr>
        <w:t>El encargado aplicará, como mínimo, las medidas técnicas y organizativas ( también referidas como TOMs) especificadas en el</w:t>
      </w:r>
      <w:r>
        <w:rPr>
          <w:rFonts w:eastAsia="Arial Narrow" w:cs="Arial Narrow" w:ascii="Arial Narrow" w:hAnsi="Arial Narrow"/>
          <w:b/>
          <w:sz w:val="22"/>
          <w:szCs w:val="22"/>
          <w:lang w:val="es-ES"/>
        </w:rPr>
        <w:t xml:space="preserve"> Apéndice I </w:t>
      </w:r>
      <w:r>
        <w:rPr>
          <w:rFonts w:eastAsia="Arial Narrow" w:cs="Arial Narrow" w:ascii="Arial Narrow" w:hAnsi="Arial Narrow"/>
          <w:sz w:val="22"/>
          <w:szCs w:val="22"/>
          <w:lang w:val="es-ES"/>
        </w:rPr>
        <w:t>para garantizar la seguridad de los datos personales. Una de estas medidas podrá consistir en la protección contra violaciones de la seguridad que ocasionen la destrucción, pérdida o alteración accidental o ilícita de datos personales, o la comunicación o acceso no autorizados a dichos datos («violación de la seguridad de los datos personales»). A la hora de determinar un nivel adecuado de seguridad, las partes tendrán debidamente en cuenta el estado de la técnica, los costes de aplicación, la naturaleza, el alcance, el contexto y los fines del tratamiento, y los riesgos que entraña el tratamiento para los interesados.</w:t>
      </w:r>
    </w:p>
    <w:p>
      <w:pPr>
        <w:pStyle w:val="Normal1"/>
        <w:widowControl/>
        <w:numPr>
          <w:ilvl w:val="0"/>
          <w:numId w:val="10"/>
        </w:numPr>
        <w:tabs>
          <w:tab w:val="clear" w:pos="720"/>
          <w:tab w:val="left" w:pos="792" w:leader="none"/>
        </w:tabs>
        <w:spacing w:lineRule="auto" w:line="206" w:before="127" w:after="0"/>
        <w:ind w:hanging="288" w:left="792" w:right="504"/>
        <w:jc w:val="both"/>
        <w:rPr>
          <w:lang w:val="es-ES"/>
        </w:rPr>
      </w:pPr>
      <w:r>
        <w:rPr>
          <w:rFonts w:eastAsia="Arial Narrow" w:cs="Arial Narrow" w:ascii="Arial Narrow" w:hAnsi="Arial Narrow"/>
          <w:sz w:val="22"/>
          <w:szCs w:val="22"/>
          <w:lang w:val="es-ES"/>
        </w:rPr>
        <w:t>El encargado solo concederá acceso a los datos personales tratados a los miembros de su personal en la medida en que sea estrictamente necesario para la ejecución, la gestión y el seguimiento del contrato. El encargado garantizará que las personas autorizadas para tratar los datos personales recibidos se hayan comprometido a respetar la confidencialidad o estén sujetas a una obligación de confidencialidad de naturaleza estatutaria.</w:t>
      </w:r>
    </w:p>
    <w:p>
      <w:pPr>
        <w:pStyle w:val="Normal1"/>
        <w:widowControl/>
        <w:numPr>
          <w:ilvl w:val="0"/>
          <w:numId w:val="10"/>
        </w:numPr>
        <w:tabs>
          <w:tab w:val="clear" w:pos="720"/>
          <w:tab w:val="left" w:pos="792" w:leader="none"/>
        </w:tabs>
        <w:spacing w:lineRule="auto" w:line="206" w:before="127" w:after="0"/>
        <w:ind w:hanging="288" w:left="792" w:right="504"/>
        <w:jc w:val="both"/>
        <w:rPr>
          <w:lang w:val="es-ES"/>
        </w:rPr>
      </w:pPr>
      <w:r>
        <w:rPr>
          <w:rFonts w:eastAsia="Arial Narrow" w:cs="Arial Narrow" w:ascii="Arial Narrow" w:hAnsi="Arial Narrow"/>
          <w:sz w:val="22"/>
          <w:szCs w:val="22"/>
          <w:lang w:val="es-ES"/>
        </w:rPr>
        <w:t xml:space="preserve">El encargado del tratamiento se abstendrá de realizar modificaciones técnicas en las medidas técnicas y organizativas especificadas en el </w:t>
      </w:r>
      <w:r>
        <w:rPr>
          <w:rFonts w:eastAsia="Arial Narrow" w:cs="Arial Narrow" w:ascii="Arial Narrow" w:hAnsi="Arial Narrow"/>
          <w:b/>
          <w:sz w:val="22"/>
          <w:szCs w:val="22"/>
          <w:lang w:val="es-ES"/>
        </w:rPr>
        <w:t xml:space="preserve">Apéndice I </w:t>
      </w:r>
      <w:r>
        <w:rPr>
          <w:rFonts w:eastAsia="Arial Narrow" w:cs="Arial Narrow" w:ascii="Arial Narrow" w:hAnsi="Arial Narrow"/>
          <w:sz w:val="22"/>
          <w:szCs w:val="22"/>
          <w:lang w:val="es-ES"/>
        </w:rPr>
        <w:t>que puedan reducir el nivel de seguridad descrito en dichas medidas sin el previo consentimiento por escrito del responsable del tratamiento.Todos los documentos, información y respuestas facilitados por el encargado del tratamiento se adjuntarán a las cláusulas tipo, de las que forman parte integrante. Serán plenamente vinculantes para el encargado del tratamiento y cualquier incumplimiento de las mismas podrá generar la responsabilidad del encargado del tratamiento de conformidad con los artículos 82 y 83 del Reglamento (UE) 2016/679.</w:t>
      </w:r>
    </w:p>
    <w:p>
      <w:pPr>
        <w:pStyle w:val="Normal1"/>
        <w:widowControl/>
        <w:numPr>
          <w:ilvl w:val="0"/>
          <w:numId w:val="10"/>
        </w:numPr>
        <w:tabs>
          <w:tab w:val="clear" w:pos="720"/>
          <w:tab w:val="left" w:pos="792" w:leader="none"/>
        </w:tabs>
        <w:spacing w:lineRule="auto" w:line="206" w:before="127" w:after="0"/>
        <w:ind w:hanging="288" w:left="792" w:right="504"/>
        <w:jc w:val="both"/>
        <w:rPr>
          <w:lang w:val="es-ES"/>
        </w:rPr>
      </w:pPr>
      <w:r>
        <w:rPr>
          <w:rFonts w:eastAsia="Arial Narrow" w:cs="Arial Narrow" w:ascii="Arial Narrow" w:hAnsi="Arial Narrow"/>
          <w:sz w:val="22"/>
          <w:szCs w:val="22"/>
          <w:lang w:val="es-ES"/>
        </w:rPr>
        <w:t xml:space="preserve">Los TOMs del encargado del tratamiento están sujetos a mejoras técnicas y otros desarrollos. A este respecto, el encargado del tratamiento está autorizado a aplicar medidas de mejora siempre que notifique previamente al responsable del tratamiento cualquier medida que pueda repercutir en él. </w:t>
      </w:r>
    </w:p>
    <w:p>
      <w:pPr>
        <w:pStyle w:val="Normal1"/>
        <w:widowControl/>
        <w:tabs>
          <w:tab w:val="clear" w:pos="720"/>
          <w:tab w:val="left" w:pos="792" w:leader="none"/>
        </w:tabs>
        <w:spacing w:lineRule="auto" w:line="206" w:before="127" w:after="0"/>
        <w:ind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tabs>
          <w:tab w:val="clear" w:pos="720"/>
          <w:tab w:val="left" w:pos="792" w:leader="none"/>
        </w:tabs>
        <w:spacing w:lineRule="auto" w:line="206" w:before="127" w:after="0"/>
        <w:ind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spacing w:lineRule="auto" w:line="235" w:before="272" w:after="0"/>
        <w:ind w:hanging="0" w:left="504"/>
        <w:rPr>
          <w:lang w:val="es-ES"/>
        </w:rPr>
      </w:pPr>
      <w:r>
        <mc:AlternateContent>
          <mc:Choice Requires="wps">
            <w:drawing>
              <wp:anchor behindDoc="0" distT="5715" distB="5080" distL="5080" distR="5715" simplePos="0" locked="0" layoutInCell="0" allowOverlap="1" relativeHeight="17">
                <wp:simplePos x="0" y="0"/>
                <wp:positionH relativeFrom="page">
                  <wp:posOffset>-30480</wp:posOffset>
                </wp:positionH>
                <wp:positionV relativeFrom="page">
                  <wp:posOffset>-23495</wp:posOffset>
                </wp:positionV>
                <wp:extent cx="60325" cy="60325"/>
                <wp:effectExtent l="5080" t="5715" r="5715" b="5080"/>
                <wp:wrapNone/>
                <wp:docPr id="2" name="Forma2"/>
                <a:graphic xmlns:a="http://schemas.openxmlformats.org/drawingml/2006/main">
                  <a:graphicData uri="http://schemas.microsoft.com/office/word/2010/wordprocessingShape">
                    <wps:wsp>
                      <wps:cNvSpPr/>
                      <wps:spPr>
                        <a:xfrm>
                          <a:off x="0" y="0"/>
                          <a:ext cx="60480" cy="60480"/>
                        </a:xfrm>
                        <a:prstGeom prst="straightConnector1">
                          <a:avLst/>
                        </a:prstGeom>
                        <a:solidFill>
                          <a:srgbClr val="ffffff"/>
                        </a:solidFill>
                        <a:ln w="9525">
                          <a:solidFill>
                            <a:srgbClr val="000000"/>
                          </a:solidFill>
                          <a:round/>
                        </a:ln>
                      </wps:spPr>
                      <wps:style>
                        <a:lnRef idx="0"/>
                        <a:fillRef idx="0"/>
                        <a:effectRef idx="0"/>
                        <a:fontRef idx="minor"/>
                      </wps:style>
                      <wps:bodyPr/>
                    </wps:wsp>
                  </a:graphicData>
                </a:graphic>
              </wp:anchor>
            </w:drawing>
          </mc:Choice>
          <mc:Fallback>
            <w:pict>
              <v:shape id="shape_0" ID="Forma2" path="m0,0l-2147483648,-2147483647e" fillcolor="white" stroked="t" o:allowincell="f" style="position:absolute;margin-left:-2.4pt;margin-top:-1.85pt;width:4.7pt;height:4.7pt;mso-wrap-style:none;v-text-anchor:middle;mso-position-horizontal-relative:page;mso-position-vertical-relative:page" type="_x0000_t32">
                <v:fill o:detectmouseclick="t" type="solid" color2="black"/>
                <v:stroke color="black" weight="9360" joinstyle="round" endcap="flat"/>
                <w10:wrap type="none"/>
              </v:shape>
            </w:pict>
          </mc:Fallback>
        </mc:AlternateContent>
      </w:r>
      <w:r>
        <w:rPr>
          <w:rFonts w:eastAsia="Arial Narrow" w:cs="Arial Narrow" w:ascii="Arial Narrow" w:hAnsi="Arial Narrow"/>
          <w:sz w:val="22"/>
          <w:szCs w:val="22"/>
          <w:lang w:val="es-ES"/>
        </w:rPr>
        <w:t xml:space="preserve">7.5. </w:t>
      </w:r>
      <w:r>
        <w:rPr>
          <w:rFonts w:eastAsia="Arial Narrow" w:cs="Arial Narrow" w:ascii="Arial Narrow" w:hAnsi="Arial Narrow"/>
          <w:b/>
          <w:sz w:val="22"/>
          <w:szCs w:val="22"/>
          <w:lang w:val="es-ES"/>
        </w:rPr>
        <w:t>Datos sensibles</w:t>
      </w:r>
    </w:p>
    <w:p>
      <w:pPr>
        <w:pStyle w:val="Normal1"/>
        <w:widowControl/>
        <w:spacing w:lineRule="auto" w:line="208" w:before="261" w:after="0"/>
        <w:ind w:hanging="0" w:left="504" w:right="504"/>
        <w:jc w:val="both"/>
        <w:rPr>
          <w:lang w:val="es-ES"/>
        </w:rPr>
      </w:pPr>
      <w:r>
        <w:rPr>
          <w:rFonts w:eastAsia="Arial Narrow" w:cs="Arial Narrow" w:ascii="Arial Narrow" w:hAnsi="Arial Narrow"/>
          <w:sz w:val="22"/>
          <w:szCs w:val="22"/>
          <w:lang w:val="es-ES"/>
        </w:rPr>
        <w:t>Si el tratamiento afecta a datos personales que revelen el origen étnico o racial, las opiniones políticas, las convicciones religiosas o filosóficas, o la afiliación sindical, datos genéticos o datos biométricos dirigidos a identificar de manera unívoca a una persona física, datos relativos a la salud o datos relativos a la vida sexual o la orientación sexual de una persona física, o datos relativos a condenas e infracciones penales («datos sensibles»), el encargado aplicará restricciones específicas y/o garantías adicionales.</w:t>
      </w:r>
    </w:p>
    <w:p>
      <w:pPr>
        <w:pStyle w:val="Normal1"/>
        <w:widowControl/>
        <w:spacing w:lineRule="auto" w:line="208" w:before="261" w:after="0"/>
        <w:ind w:hanging="0" w:left="504" w:right="504"/>
        <w:jc w:val="both"/>
        <w:rPr>
          <w:lang w:val="es-ES"/>
        </w:rPr>
      </w:pPr>
      <w:r>
        <w:rPr>
          <w:rFonts w:eastAsia="Arial Narrow" w:cs="Arial Narrow" w:ascii="Arial Narrow" w:hAnsi="Arial Narrow"/>
          <w:sz w:val="22"/>
          <w:szCs w:val="22"/>
          <w:lang w:val="es-ES"/>
        </w:rPr>
        <w:t xml:space="preserve">7.6. </w:t>
      </w:r>
      <w:r>
        <w:rPr>
          <w:rFonts w:eastAsia="Arial Narrow" w:cs="Arial Narrow" w:ascii="Arial Narrow" w:hAnsi="Arial Narrow"/>
          <w:b/>
          <w:sz w:val="22"/>
          <w:szCs w:val="22"/>
          <w:lang w:val="es-ES"/>
        </w:rPr>
        <w:t>Documentación y cumplimiento</w:t>
      </w:r>
    </w:p>
    <w:p>
      <w:pPr>
        <w:pStyle w:val="Normal1"/>
        <w:widowControl/>
        <w:numPr>
          <w:ilvl w:val="0"/>
          <w:numId w:val="1"/>
        </w:numPr>
        <w:tabs>
          <w:tab w:val="clear" w:pos="720"/>
          <w:tab w:val="left" w:pos="792" w:leader="none"/>
        </w:tabs>
        <w:spacing w:lineRule="auto" w:line="228" w:before="242" w:after="0"/>
        <w:ind w:hanging="288" w:left="792"/>
        <w:rPr>
          <w:lang w:val="es-ES"/>
        </w:rPr>
      </w:pPr>
      <w:r>
        <w:rPr>
          <w:rFonts w:eastAsia="Arial Narrow" w:cs="Arial Narrow" w:ascii="Arial Narrow" w:hAnsi="Arial Narrow"/>
          <w:sz w:val="22"/>
          <w:szCs w:val="22"/>
          <w:lang w:val="es-ES"/>
        </w:rPr>
        <w:t>Las partes deberán poder demostrar el cumplimiento de las presentes Cláusulas.</w:t>
      </w:r>
    </w:p>
    <w:p>
      <w:pPr>
        <w:pStyle w:val="Normal1"/>
        <w:widowControl/>
        <w:tabs>
          <w:tab w:val="clear" w:pos="720"/>
          <w:tab w:val="left" w:pos="835" w:leader="none"/>
        </w:tabs>
        <w:spacing w:lineRule="auto" w:line="216" w:before="259" w:after="0"/>
        <w:ind w:hanging="0" w:left="850" w:right="504"/>
        <w:jc w:val="both"/>
        <w:rPr>
          <w:lang w:val="es-ES"/>
        </w:rPr>
      </w:pPr>
      <w:r>
        <w:rPr>
          <w:rFonts w:eastAsia="Arial Narrow" w:cs="Arial Narrow" w:ascii="Arial Narrow" w:hAnsi="Arial Narrow"/>
          <w:sz w:val="22"/>
          <w:szCs w:val="22"/>
          <w:lang w:val="es-ES"/>
        </w:rPr>
        <w:t>El encargado resolverá con presteza y de forma adecuada las consultas del responsable relacionadas con el tratamiento con arreglo a las presentes Cláusulas. En particular, el encargado del tratamiento facilitará, a petición del responsable del tratamiento, extractos de su propio registro relativos a las actividades de tratamiento realizadas por cuenta del responsable del tratamiento, con el fin de permitirle mantener actualizado su propio registro.</w:t>
      </w:r>
    </w:p>
    <w:p>
      <w:pPr>
        <w:pStyle w:val="Normal1"/>
        <w:widowControl/>
        <w:numPr>
          <w:ilvl w:val="0"/>
          <w:numId w:val="1"/>
        </w:numPr>
        <w:tabs>
          <w:tab w:val="clear" w:pos="720"/>
          <w:tab w:val="left" w:pos="792" w:leader="none"/>
        </w:tabs>
        <w:spacing w:lineRule="auto" w:line="208" w:before="261" w:after="0"/>
        <w:ind w:hanging="288" w:left="792" w:right="504"/>
        <w:jc w:val="both"/>
        <w:rPr>
          <w:lang w:val="es-ES"/>
        </w:rPr>
      </w:pPr>
      <w:r>
        <w:rPr>
          <w:rFonts w:eastAsia="Arial Narrow" w:cs="Arial Narrow" w:ascii="Arial Narrow" w:hAnsi="Arial Narrow"/>
          <w:sz w:val="22"/>
          <w:szCs w:val="22"/>
          <w:lang w:val="es-ES"/>
        </w:rPr>
        <w:t>El encargado pondrá a disposición del responsable toda la información necesaria para demostrar el cumplimiento de las obligaciones contempladas en las presentes Cláusulas y que deriven directamente del Reglamento (UE) 2016/679. . A instancia del responsable, el encargado permitirá y contribuirá a la realización de auditorías de las actividades de tratamiento cubiertas por las presentes Cláusulas, a intervalos razonables o si existen indicios de incumplimiento. Al decidir si se realiza un examen o una auditoría, el responsable podrá tener en cuenta las certificaciones pertinentes que obren en poder del encargado. Si la auditoría revela que las medidas de seguridad implantadas por el encargado del tratamiento y/o su subencargado no son suficientes o adecuadas, o si dichas medidas revelan la existencia de incumplimientos de los términos de las presentes cláusulas y/o de la legislación vigente en materia de protección de datos de carácter personal y/o de las prácticas habituales del sector, el encargado del tratamiento deberá, a su costa, implantar las medidas correctoras en un plazo acordado entre las Partes.</w:t>
      </w:r>
    </w:p>
    <w:p>
      <w:pPr>
        <w:pStyle w:val="Normal1"/>
        <w:widowControl/>
        <w:numPr>
          <w:ilvl w:val="0"/>
          <w:numId w:val="1"/>
        </w:numPr>
        <w:tabs>
          <w:tab w:val="clear" w:pos="720"/>
          <w:tab w:val="left" w:pos="792" w:leader="none"/>
        </w:tabs>
        <w:spacing w:lineRule="auto" w:line="216" w:before="259" w:after="0"/>
        <w:ind w:hanging="288" w:left="792" w:right="504"/>
        <w:jc w:val="both"/>
        <w:rPr>
          <w:lang w:val="es-ES"/>
        </w:rPr>
      </w:pPr>
      <w:r>
        <w:rPr>
          <w:rFonts w:eastAsia="Arial Narrow" w:cs="Arial Narrow" w:ascii="Arial Narrow" w:hAnsi="Arial Narrow"/>
          <w:sz w:val="22"/>
          <w:szCs w:val="22"/>
          <w:lang w:val="es-ES"/>
        </w:rPr>
        <w:t>El responsable podrá optar por realizar la auditoría por sí mismo o autorizar a un auditor independiente. Las auditorías también podrán consistir en inspecciones de los locales o instalaciones físicas del encargado y, cuando proceda, realizarse con un preaviso razonable.</w:t>
      </w:r>
    </w:p>
    <w:p>
      <w:pPr>
        <w:pStyle w:val="Normal1"/>
        <w:widowControl/>
        <w:numPr>
          <w:ilvl w:val="0"/>
          <w:numId w:val="1"/>
        </w:numPr>
        <w:tabs>
          <w:tab w:val="clear" w:pos="720"/>
          <w:tab w:val="left" w:pos="792" w:leader="none"/>
        </w:tabs>
        <w:spacing w:lineRule="auto" w:line="204" w:before="264" w:after="0"/>
        <w:ind w:hanging="288" w:left="792" w:right="504"/>
        <w:jc w:val="both"/>
        <w:rPr>
          <w:lang w:val="es-ES"/>
        </w:rPr>
      </w:pPr>
      <w:r>
        <w:rPr>
          <w:rFonts w:eastAsia="Arial Narrow" w:cs="Arial Narrow" w:ascii="Arial Narrow" w:hAnsi="Arial Narrow"/>
          <w:sz w:val="22"/>
          <w:szCs w:val="22"/>
          <w:lang w:val="es-ES"/>
        </w:rPr>
        <w:t>Las partes pondrán a disposición de las autoridades de control competentes, a instancia de estas, la información a que se refiere la presente cláusula y, en particular, los resultados de las auditorías.</w:t>
      </w:r>
    </w:p>
    <w:p>
      <w:pPr>
        <w:pStyle w:val="Normal1"/>
        <w:widowControl/>
        <w:numPr>
          <w:ilvl w:val="0"/>
          <w:numId w:val="1"/>
        </w:numPr>
        <w:spacing w:lineRule="auto" w:line="204" w:before="264" w:after="0"/>
        <w:ind w:hanging="288" w:left="792" w:right="504"/>
        <w:jc w:val="both"/>
        <w:rPr>
          <w:lang w:val="es-ES"/>
        </w:rPr>
      </w:pPr>
      <w:r>
        <w:rPr>
          <w:rFonts w:eastAsia="Arial Narrow" w:cs="Arial Narrow" w:ascii="Arial Narrow" w:hAnsi="Arial Narrow"/>
          <w:sz w:val="22"/>
          <w:szCs w:val="22"/>
          <w:lang w:val="es-ES"/>
        </w:rPr>
        <w:t>Si el encargado del tratamiento es responsable de la recogida de datos personales por cuenta del responsable del tratamiento, éste se compromete, en el momento de la recogida de los datos personales, a facilitar a los interesados la información relativa al tratamiento o tratamientos de datos efectuados, de conformidad con la normativa aplicable en materia de protección de datos. La información facilitada a los interesados se preparará, en su caso, en consulta con el responsable del tratamiento.</w:t>
      </w:r>
    </w:p>
    <w:p>
      <w:pPr>
        <w:pStyle w:val="Normal1"/>
        <w:widowControl/>
        <w:spacing w:lineRule="auto" w:line="204" w:before="264" w:after="0"/>
        <w:ind w:firstLine="496" w:right="504"/>
        <w:jc w:val="both"/>
        <w:rPr>
          <w:lang w:val="es-ES"/>
        </w:rPr>
      </w:pPr>
      <w:r>
        <w:rPr>
          <w:rFonts w:eastAsia="Arial Narrow" w:cs="Arial Narrow" w:ascii="Arial Narrow" w:hAnsi="Arial Narrow"/>
          <w:sz w:val="22"/>
          <w:szCs w:val="22"/>
          <w:lang w:val="es-ES"/>
        </w:rPr>
        <w:t xml:space="preserve">7.7. </w:t>
      </w:r>
      <w:r>
        <w:rPr>
          <w:rFonts w:eastAsia="Arial Narrow" w:cs="Arial Narrow" w:ascii="Arial Narrow" w:hAnsi="Arial Narrow"/>
          <w:b/>
          <w:sz w:val="22"/>
          <w:szCs w:val="22"/>
          <w:lang w:val="es-ES"/>
        </w:rPr>
        <w:t>Recurso a subencargados</w:t>
      </w:r>
    </w:p>
    <w:p>
      <w:pPr>
        <w:pStyle w:val="Normal1"/>
        <w:widowControl/>
        <w:tabs>
          <w:tab w:val="clear" w:pos="720"/>
          <w:tab w:val="left" w:pos="792" w:leader="none"/>
        </w:tabs>
        <w:spacing w:lineRule="auto" w:line="208" w:before="258" w:after="0"/>
        <w:ind w:hanging="141" w:left="708" w:right="504"/>
        <w:jc w:val="both"/>
        <w:rPr>
          <w:lang w:val="es-ES"/>
        </w:rPr>
      </w:pPr>
      <w:r>
        <w:rPr>
          <w:rFonts w:eastAsia="Arial Narrow" w:cs="Arial Narrow" w:ascii="Arial Narrow" w:hAnsi="Arial Narrow"/>
          <w:sz w:val="22"/>
          <w:szCs w:val="22"/>
          <w:lang w:val="es-ES"/>
        </w:rPr>
        <w:t xml:space="preserve">a) El encargado solo podrá subcontratar a un subencargado las operaciones de tratamiento que realice por cuenta del responsable en virtud de las presentes Cláusulas con la autorización previa específica por escrito del responsable. El encargado presentará la solicitud de autorización específica conforme al modelo que se adjunta en el </w:t>
      </w:r>
      <w:r>
        <w:rPr>
          <w:rFonts w:eastAsia="Arial Narrow" w:cs="Arial Narrow" w:ascii="Arial Narrow" w:hAnsi="Arial Narrow"/>
          <w:b/>
          <w:sz w:val="22"/>
          <w:szCs w:val="22"/>
          <w:lang w:val="es-ES"/>
        </w:rPr>
        <w:t>Apéndice II,</w:t>
      </w:r>
      <w:r>
        <w:rPr>
          <w:rFonts w:eastAsia="Arial Narrow" w:cs="Arial Narrow" w:ascii="Arial Narrow" w:hAnsi="Arial Narrow"/>
          <w:sz w:val="22"/>
          <w:szCs w:val="22"/>
          <w:lang w:val="es-ES"/>
        </w:rPr>
        <w:t xml:space="preserve"> al menos  treinta (30) días hábiles antes de la contratación del subencargado de que se trate, junto con la información necesaria para que el responsable pueda resolver la solicitud. </w:t>
      </w:r>
    </w:p>
    <w:p>
      <w:pPr>
        <w:pStyle w:val="Normal1"/>
        <w:widowControl/>
        <w:tabs>
          <w:tab w:val="clear" w:pos="720"/>
          <w:tab w:val="left" w:pos="700" w:leader="none"/>
        </w:tabs>
        <w:spacing w:lineRule="auto" w:line="208" w:before="258" w:after="0"/>
        <w:ind w:hanging="141" w:left="708" w:right="504"/>
        <w:jc w:val="both"/>
        <w:rPr>
          <w:lang w:val="es-ES"/>
        </w:rPr>
      </w:pPr>
      <w:r>
        <w:rPr>
          <w:rFonts w:eastAsia="Arial Narrow" w:cs="Arial Narrow" w:ascii="Arial Narrow" w:hAnsi="Arial Narrow"/>
          <w:sz w:val="22"/>
          <w:szCs w:val="22"/>
          <w:lang w:val="es-ES"/>
        </w:rPr>
        <w:t>b) Cuando el encargado contrate a un subencargado para llevar a cabo actividades de tratamiento específicas (por cuenta del responsable), lo hará por medio de un contrato que imponga al subencargado, en esencia, las mismas obligaciones en materia de protección de datos que las impuestas al encargado en virtud de las presentes Cláusulas. El encargado se asegurará de que el subencargado cumpla las obligaciones a las que esté sujeto en virtud de las presentes Cláusulas y del Reglamento (UE) 2016/679.</w:t>
      </w:r>
    </w:p>
    <w:p>
      <w:pPr>
        <w:pStyle w:val="Normal1"/>
        <w:widowControl/>
        <w:tabs>
          <w:tab w:val="clear" w:pos="720"/>
          <w:tab w:val="left" w:pos="792" w:leader="none"/>
        </w:tabs>
        <w:spacing w:lineRule="auto" w:line="208" w:before="258" w:after="0"/>
        <w:ind w:hanging="141" w:left="708" w:right="504"/>
        <w:jc w:val="both"/>
        <w:rPr>
          <w:lang w:val="es-ES"/>
        </w:rPr>
      </w:pPr>
      <w:r>
        <w:rPr>
          <w:rFonts w:eastAsia="Arial Narrow" w:cs="Arial Narrow" w:ascii="Arial Narrow" w:hAnsi="Arial Narrow"/>
          <w:sz w:val="22"/>
          <w:szCs w:val="22"/>
          <w:lang w:val="es-ES"/>
        </w:rPr>
        <w:t>c) El encargado proporcionará al responsable, a instancia de éste, una copia del contrato con el subencargado y de cualquier modificación posterior del mismo. En la medida en que sea necesario para proteger secretos comerciales u otro tipo de información confidencial, como datos personales, el encargado podrá expurgar el texto del contrato antes de compartir la copia.</w:t>
      </w:r>
    </w:p>
    <w:p>
      <w:pPr>
        <w:pStyle w:val="Normal1"/>
        <w:widowControl/>
        <w:tabs>
          <w:tab w:val="clear" w:pos="720"/>
          <w:tab w:val="left" w:pos="700" w:leader="none"/>
        </w:tabs>
        <w:spacing w:lineRule="auto" w:line="206" w:before="264" w:after="0"/>
        <w:ind w:hanging="285" w:left="850" w:right="504"/>
        <w:jc w:val="both"/>
        <w:rPr>
          <w:lang w:val="es-ES"/>
        </w:rPr>
      </w:pPr>
      <w:r>
        <w:rPr>
          <w:rFonts w:eastAsia="Arial Narrow" w:cs="Arial Narrow" w:ascii="Arial Narrow" w:hAnsi="Arial Narrow"/>
          <w:sz w:val="22"/>
          <w:szCs w:val="22"/>
          <w:lang w:val="es-ES"/>
        </w:rPr>
        <w:t>d) El encargado seguirá siendo plenamente responsable ante el responsable, del cumplimiento de las obligaciones que imponga al subencargado en su contrato con el encargado. El encargado notificará al responsable los incumplimientos por parte del subencargado de las obligaciones que le atribuya dicho contrato.</w:t>
      </w:r>
    </w:p>
    <w:p>
      <w:pPr>
        <w:pStyle w:val="Normal1"/>
        <w:widowControl/>
        <w:tabs>
          <w:tab w:val="clear" w:pos="720"/>
          <w:tab w:val="left" w:pos="700" w:leader="none"/>
        </w:tabs>
        <w:spacing w:lineRule="auto" w:line="206" w:before="264" w:after="0"/>
        <w:ind w:hanging="285" w:left="850" w:right="504"/>
        <w:jc w:val="both"/>
        <w:rPr>
          <w:lang w:val="es-ES"/>
        </w:rPr>
      </w:pPr>
      <w:r>
        <mc:AlternateContent>
          <mc:Choice Requires="wps">
            <w:drawing>
              <wp:anchor behindDoc="0" distT="5715" distB="5080" distL="5080" distR="5715" simplePos="0" locked="0" layoutInCell="0" allowOverlap="1" relativeHeight="16">
                <wp:simplePos x="0" y="0"/>
                <wp:positionH relativeFrom="page">
                  <wp:posOffset>-30480</wp:posOffset>
                </wp:positionH>
                <wp:positionV relativeFrom="page">
                  <wp:posOffset>-23495</wp:posOffset>
                </wp:positionV>
                <wp:extent cx="60325" cy="60325"/>
                <wp:effectExtent l="5080" t="5715" r="5715" b="5080"/>
                <wp:wrapNone/>
                <wp:docPr id="3" name="Forma3"/>
                <a:graphic xmlns:a="http://schemas.openxmlformats.org/drawingml/2006/main">
                  <a:graphicData uri="http://schemas.microsoft.com/office/word/2010/wordprocessingShape">
                    <wps:wsp>
                      <wps:cNvSpPr/>
                      <wps:spPr>
                        <a:xfrm>
                          <a:off x="0" y="0"/>
                          <a:ext cx="60480" cy="60480"/>
                        </a:xfrm>
                        <a:prstGeom prst="straightConnector1">
                          <a:avLst/>
                        </a:prstGeom>
                        <a:solidFill>
                          <a:srgbClr val="ffffff"/>
                        </a:solidFill>
                        <a:ln w="9525">
                          <a:solidFill>
                            <a:srgbClr val="000000"/>
                          </a:solidFill>
                          <a:round/>
                        </a:ln>
                      </wps:spPr>
                      <wps:style>
                        <a:lnRef idx="0"/>
                        <a:fillRef idx="0"/>
                        <a:effectRef idx="0"/>
                        <a:fontRef idx="minor"/>
                      </wps:style>
                      <wps:bodyPr/>
                    </wps:wsp>
                  </a:graphicData>
                </a:graphic>
              </wp:anchor>
            </w:drawing>
          </mc:Choice>
          <mc:Fallback>
            <w:pict>
              <v:shape id="shape_0" ID="Forma3" path="m0,0l-2147483648,-2147483647e" fillcolor="white" stroked="t" o:allowincell="f" style="position:absolute;margin-left:-2.4pt;margin-top:-1.85pt;width:4.7pt;height:4.7pt;mso-wrap-style:none;v-text-anchor:middle;mso-position-horizontal-relative:page;mso-position-vertical-relative:page" type="_x0000_t32">
                <v:fill o:detectmouseclick="t" type="solid" color2="black"/>
                <v:stroke color="black" weight="9360" joinstyle="round" endcap="flat"/>
                <w10:wrap type="none"/>
              </v:shape>
            </w:pict>
          </mc:Fallback>
        </mc:AlternateContent>
      </w:r>
      <w:r>
        <w:rPr>
          <w:rFonts w:eastAsia="Arial Narrow" w:cs="Arial Narrow" w:ascii="Arial Narrow" w:hAnsi="Arial Narrow"/>
          <w:sz w:val="22"/>
          <w:szCs w:val="22"/>
          <w:lang w:val="es-ES"/>
        </w:rPr>
        <w:t>e) El encargado pactará con el subencargado una cláusula de tercero beneficiario en virtud de la cual, en caso de que el encargado desaparezca de facto, cese de existir jurídicamente o sea insolvente, el responsable tendrá derecho a rescindir el contrato del subencargado y ordenar a este que suprima o devuelva los datos personales.</w:t>
      </w:r>
    </w:p>
    <w:p>
      <w:pPr>
        <w:pStyle w:val="Normal1"/>
        <w:widowControl/>
        <w:spacing w:lineRule="auto" w:line="228" w:before="505" w:after="0"/>
        <w:ind w:hanging="0" w:left="504"/>
        <w:rPr>
          <w:lang w:val="es-ES"/>
        </w:rPr>
      </w:pPr>
      <w:r>
        <w:rPr>
          <w:rFonts w:eastAsia="Arial Narrow" w:cs="Arial Narrow" w:ascii="Arial Narrow" w:hAnsi="Arial Narrow"/>
          <w:sz w:val="22"/>
          <w:szCs w:val="22"/>
          <w:lang w:val="es-ES"/>
        </w:rPr>
        <w:t xml:space="preserve">7.8. </w:t>
      </w:r>
      <w:r>
        <w:rPr>
          <w:rFonts w:eastAsia="Arial Narrow" w:cs="Arial Narrow" w:ascii="Arial Narrow" w:hAnsi="Arial Narrow"/>
          <w:b/>
          <w:sz w:val="22"/>
          <w:szCs w:val="22"/>
          <w:lang w:val="es-ES"/>
        </w:rPr>
        <w:t>Transferencias internacionales</w:t>
      </w:r>
    </w:p>
    <w:p>
      <w:pPr>
        <w:pStyle w:val="Normal1"/>
        <w:widowControl/>
        <w:numPr>
          <w:ilvl w:val="0"/>
          <w:numId w:val="11"/>
        </w:numPr>
        <w:tabs>
          <w:tab w:val="clear" w:pos="720"/>
          <w:tab w:val="left" w:pos="792" w:leader="none"/>
        </w:tabs>
        <w:spacing w:lineRule="auto" w:line="208" w:before="200" w:after="0"/>
        <w:ind w:hanging="288" w:left="792" w:right="504"/>
        <w:jc w:val="both"/>
        <w:rPr>
          <w:lang w:val="es-ES"/>
        </w:rPr>
      </w:pPr>
      <w:r>
        <w:rPr>
          <w:rFonts w:eastAsia="Arial Narrow" w:cs="Arial Narrow" w:ascii="Arial Narrow" w:hAnsi="Arial Narrow"/>
          <w:sz w:val="22"/>
          <w:szCs w:val="22"/>
          <w:lang w:val="es-ES"/>
        </w:rPr>
        <w:t>Las transferencias de datos a un tercer país o a una organización internacional por parte del encargado solo podrán realizarse siguiendo instrucciones documentadas del responsable o en virtud de una exigencia expresa del Derecho de la Unión o del Estado miembro al que esté sujeto el encargado; se llevarán a cabo de conformidad con el capítulo V del Reglamento (UE) 2016/679.</w:t>
      </w:r>
    </w:p>
    <w:p>
      <w:pPr>
        <w:pStyle w:val="Normal1"/>
        <w:widowControl/>
        <w:numPr>
          <w:ilvl w:val="0"/>
          <w:numId w:val="11"/>
        </w:numPr>
        <w:tabs>
          <w:tab w:val="clear" w:pos="720"/>
          <w:tab w:val="left" w:pos="792" w:leader="none"/>
        </w:tabs>
        <w:spacing w:lineRule="auto" w:line="208" w:before="200" w:after="0"/>
        <w:ind w:hanging="288" w:left="792" w:right="504"/>
        <w:jc w:val="both"/>
        <w:rPr>
          <w:lang w:val="es-ES"/>
        </w:rPr>
      </w:pPr>
      <w:r>
        <w:rPr>
          <w:rFonts w:eastAsia="Arial Narrow" w:cs="Arial Narrow" w:ascii="Arial Narrow" w:hAnsi="Arial Narrow"/>
          <w:sz w:val="22"/>
          <w:szCs w:val="22"/>
          <w:lang w:val="es-ES"/>
        </w:rPr>
        <w:t xml:space="preserve">El responsable se aviene a que, cuando el encargado recurra a un subencargado de conformidad con la cláusula 7.7 para llevar a cabo actividades de tratamiento específicas (por cuenta del responsable) y dichas actividades conlleven una transferencia de datos personales en el sentido del capítulo V del Reglamento (UE) 2016/679, el encargado y el subencargado puedan garantizar el cumplimiento del capítulo V del Reglamento (UE) 2016/679 utilizando cláusulas contractuales tipo adoptadas por la Comisión, con arreglo al artículo 46, apartado 2, del Reglamento (UE) 2016/679, siempre que se cumplan las condiciones para la utilización de dichas cláusulas contractuales tipo. </w:t>
      </w:r>
    </w:p>
    <w:p>
      <w:pPr>
        <w:pStyle w:val="Normal1"/>
        <w:widowControl/>
        <w:tabs>
          <w:tab w:val="clear" w:pos="720"/>
          <w:tab w:val="left" w:pos="792" w:leader="none"/>
        </w:tabs>
        <w:spacing w:lineRule="auto" w:line="208" w:before="200" w:after="0"/>
        <w:ind w:hanging="0" w:left="779" w:right="504"/>
        <w:jc w:val="both"/>
        <w:rPr>
          <w:lang w:val="es-ES"/>
        </w:rPr>
      </w:pPr>
      <w:r>
        <w:rPr>
          <w:rFonts w:eastAsia="Arial Narrow" w:cs="Arial Narrow" w:ascii="Arial Narrow" w:hAnsi="Arial Narrow"/>
          <w:sz w:val="22"/>
          <w:szCs w:val="22"/>
          <w:lang w:val="es-ES"/>
        </w:rPr>
        <w:t>En este caso, el subencargado del tratamiento se compromete a este respecto a firmar sistemáticamente las cláusulas contractuales tipo facilitadas por la Comisión Europea de conformidad con el artículo 46, apartado 2, del Reglamento (UE) 2016/679 (las "Cláusulas de Transferencias") en la versión vigente más reciente (y más concretamente el módulo 3 de dichas Cláusulas de Transferencias aplicable a las transferencias de encargado a encargado del tratamiento), y a cumplir con su contenido, si el país al que se exportan los datos no está identificado por la Comisión Europea por ofrecer un nivel de protección adecuado en el sentido del artículo 45 del Reglamento (UE) 2016/679 y/o la transferencia no puede regirse por normas corporativas vinculantes según lo dispuesto en el artículo 46, apartado 2, del Reglamento (UE) 2016/679. El encargado del tratamiento se compromete a completar las Cláusulas de Transferencias si lo considera oportuno para dar cumplimiento a la cláusula 7.7.b) de las presentes Cláusulas.</w:t>
      </w:r>
    </w:p>
    <w:p>
      <w:pPr>
        <w:pStyle w:val="Normal1"/>
        <w:widowControl/>
        <w:tabs>
          <w:tab w:val="clear" w:pos="720"/>
          <w:tab w:val="left" w:pos="792" w:leader="none"/>
        </w:tabs>
        <w:spacing w:lineRule="auto" w:line="208" w:before="200" w:after="0"/>
        <w:ind w:hanging="0" w:left="779" w:right="504"/>
        <w:jc w:val="both"/>
        <w:rPr>
          <w:lang w:val="es-ES"/>
        </w:rPr>
      </w:pPr>
      <w:r>
        <w:rPr>
          <w:rFonts w:eastAsia="Arial Narrow" w:cs="Arial Narrow" w:ascii="Arial Narrow" w:hAnsi="Arial Narrow"/>
          <w:sz w:val="22"/>
          <w:szCs w:val="22"/>
          <w:lang w:val="es-ES"/>
        </w:rPr>
        <w:t xml:space="preserve">El encargado del tratamiento también se compromete a evaluar antes de cualquier transferencia a un país no identificado por la Comisión Europea como país que ofrece un nivel adecuado de protección que el importador de datos es capaz de (i) cumplir con las garantías implementadas para asegurar la transferencia de conformidad con el artículo 46, apartado 2, del Reglamento (UE) 2016/679 y las recomendaciones de la EDPB 01/2001 ("medidas que complementan transfer tools to secure compliance with the EU level of protection of personal data") ii) garantizar un nivel de protección de datos sustancialmente equivalente al nivel de protección garantizado en el Espacio Económico Europeo con respecto a la legislación y las prácticas de su país (en particular, las que imponen la comunicación de datos a las autoridades públicas o permiten a éstas acceder a los datos). </w:t>
      </w:r>
    </w:p>
    <w:p>
      <w:pPr>
        <w:pStyle w:val="Normal1"/>
        <w:widowControl/>
        <w:tabs>
          <w:tab w:val="clear" w:pos="720"/>
          <w:tab w:val="left" w:pos="792" w:leader="none"/>
        </w:tabs>
        <w:spacing w:lineRule="auto" w:line="208" w:before="200" w:after="0"/>
        <w:ind w:hanging="0" w:left="779" w:right="504"/>
        <w:jc w:val="both"/>
        <w:rPr>
          <w:lang w:val="es-ES"/>
        </w:rPr>
      </w:pPr>
      <w:r>
        <w:rPr>
          <w:rFonts w:eastAsia="Arial Narrow" w:cs="Arial Narrow" w:ascii="Arial Narrow" w:hAnsi="Arial Narrow"/>
          <w:sz w:val="22"/>
          <w:szCs w:val="22"/>
          <w:lang w:val="es-ES"/>
        </w:rPr>
        <w:t>El encargado del tratamiento se compromete a tener en cuenta, a la hora de completar dicha evaluación, las circunstancias específicas de la transferencia, las legislaciones y prácticas del país de destino y las garantías contractuales pertinentes, técnicas u organizativas, aplicadas (entendiéndose que corresponde al encargado del tratamiento aplicar o imponer a su subencargado que lleve a cabo cualquier análisis de riesgos relativo a las transferencias ulteriores de datos (en concreto, evaluaciones de los impactos de las transferencias) y, sobre esta base, aplicar o imponer al encargado del tratamiento ulterior cualquier medida adicional necesaria para garantizar a los datos transferidos un nivel de protección suficiente). El encargado del tratamiento pondrá inmediatamente a disposición del responsable del tratamiento, previa solicitud, las evaluaciones correspondientes.</w:t>
      </w:r>
    </w:p>
    <w:p>
      <w:pPr>
        <w:pStyle w:val="Normal1"/>
        <w:widowControl/>
        <w:tabs>
          <w:tab w:val="clear" w:pos="720"/>
          <w:tab w:val="left" w:pos="792" w:leader="none"/>
        </w:tabs>
        <w:spacing w:lineRule="auto" w:line="208" w:before="200" w:after="0"/>
        <w:ind w:hanging="0" w:left="779" w:right="504"/>
        <w:jc w:val="both"/>
        <w:rPr>
          <w:lang w:val="es-ES"/>
        </w:rPr>
      </w:pPr>
      <w:r>
        <w:rPr>
          <w:rFonts w:eastAsia="Arial Narrow" w:cs="Arial Narrow" w:ascii="Arial Narrow" w:hAnsi="Arial Narrow"/>
          <w:sz w:val="22"/>
          <w:szCs w:val="22"/>
          <w:lang w:val="es-ES"/>
        </w:rPr>
        <w:t>El encargado del tratamiento reconoce y acepta que no se producirá ninguna transferencia de datos en el sentido del capítulo V del Reglamento (UE) 2016/679 y/o que dicha transferencia se suspenderá inmediatamente si el subencargado del tratamiento no cumple o deja de cumplir las condiciones previstas en los apartados "(i)" et "(ii)" aquí arriba.</w:t>
      </w:r>
    </w:p>
    <w:p>
      <w:pPr>
        <w:pStyle w:val="Normal1"/>
        <w:widowControl/>
        <w:spacing w:lineRule="auto" w:line="216" w:before="716" w:after="0"/>
        <w:jc w:val="center"/>
        <w:rPr>
          <w:lang w:val="es-ES"/>
        </w:rPr>
      </w:pPr>
      <w:r>
        <w:rPr>
          <w:rFonts w:eastAsia="Arial Narrow" w:cs="Arial Narrow" w:ascii="Arial Narrow" w:hAnsi="Arial Narrow"/>
          <w:i/>
          <w:sz w:val="22"/>
          <w:szCs w:val="22"/>
          <w:lang w:val="es-ES"/>
        </w:rPr>
        <w:t>Cláusula 8</w:t>
      </w:r>
    </w:p>
    <w:p>
      <w:pPr>
        <w:pStyle w:val="Normal1"/>
        <w:widowControl/>
        <w:spacing w:lineRule="auto" w:line="235" w:before="355" w:after="0"/>
        <w:jc w:val="center"/>
        <w:rPr>
          <w:lang w:val="es-ES"/>
        </w:rPr>
      </w:pPr>
      <w:r>
        <w:rPr>
          <w:rFonts w:eastAsia="Arial Narrow" w:cs="Arial Narrow" w:ascii="Arial Narrow" w:hAnsi="Arial Narrow"/>
          <w:b/>
          <w:i/>
          <w:sz w:val="22"/>
          <w:szCs w:val="22"/>
          <w:lang w:val="es-ES"/>
        </w:rPr>
        <w:t>Ayuda al responsable del tratamiento</w:t>
      </w:r>
    </w:p>
    <w:p>
      <w:pPr>
        <w:pStyle w:val="Normal1"/>
        <w:widowControl/>
        <w:spacing w:lineRule="auto" w:line="216" w:before="193" w:after="0"/>
        <w:ind w:hanging="288" w:left="792" w:right="504"/>
        <w:jc w:val="both"/>
        <w:rPr>
          <w:lang w:val="es-ES"/>
        </w:rPr>
      </w:pPr>
      <w:r>
        <w:rPr>
          <w:rFonts w:eastAsia="Arial Narrow" w:cs="Arial Narrow" w:ascii="Arial Narrow" w:hAnsi="Arial Narrow"/>
          <w:sz w:val="22"/>
          <w:szCs w:val="22"/>
          <w:lang w:val="es-ES"/>
        </w:rPr>
        <w:t>a) El encargado notificará con presteza al responsable las solicitudes que reciba del interesado. No responderá a dicha solicitud por sí mismo, a menos que el responsable le haya autorizado a hacerlo. El encargado del tratamiento se compromete a notificar al responsable del tratamiento en los cinco (5) días siguientes a la recepción de dichas solicitudes.</w:t>
      </w:r>
    </w:p>
    <w:p>
      <w:pPr>
        <w:pStyle w:val="Normal1"/>
        <w:widowControl/>
        <w:spacing w:lineRule="auto" w:line="206" w:before="201" w:after="0"/>
        <w:ind w:hanging="288" w:left="792" w:right="504"/>
        <w:jc w:val="both"/>
        <w:rPr>
          <w:lang w:val="es-ES"/>
        </w:rPr>
      </w:pPr>
      <w:r>
        <w:rPr>
          <w:rFonts w:eastAsia="Arial Narrow" w:cs="Arial Narrow" w:ascii="Arial Narrow" w:hAnsi="Arial Narrow"/>
          <w:sz w:val="22"/>
          <w:szCs w:val="22"/>
          <w:lang w:val="es-ES"/>
        </w:rPr>
        <w:t xml:space="preserve">b) El encargado ayudará al responsable a cumplir sus obligaciones al responder a las solicitudes de ejercicio de derechos de los interesados teniendo en cuenta la naturaleza del tratamiento sin coste adicional. En el cumplimiento de las obligaciones que le atribuyen las letras a) y b), el encargado cumplirá las instrucciones del responsable. A este respecto, el encargado del tratamiento se compromete a: </w:t>
      </w:r>
    </w:p>
    <w:p>
      <w:pPr>
        <w:pStyle w:val="Normal1"/>
        <w:widowControl/>
        <w:numPr>
          <w:ilvl w:val="0"/>
          <w:numId w:val="13"/>
        </w:numPr>
        <w:spacing w:lineRule="auto" w:line="206" w:before="201" w:after="0"/>
        <w:ind w:hanging="212" w:left="1275" w:right="504"/>
        <w:jc w:val="both"/>
        <w:rPr>
          <w:lang w:val="es-ES"/>
        </w:rPr>
      </w:pPr>
      <w:r>
        <w:rPr>
          <w:rFonts w:eastAsia="Arial Narrow" w:cs="Arial Narrow" w:ascii="Arial Narrow" w:hAnsi="Arial Narrow"/>
          <w:sz w:val="22"/>
          <w:szCs w:val="22"/>
          <w:lang w:val="es-ES"/>
        </w:rPr>
        <w:t xml:space="preserve">Facilitar al responsable del tratamiento, sin dilaciones indebidas y, en la medida de lo posible, dentro de los cinco (5) días siguientes a la solicitud del responsable del tratamiento, los documentos y la información solicitados por éste en relación con el tratamiento de datos; </w:t>
      </w:r>
    </w:p>
    <w:p>
      <w:pPr>
        <w:pStyle w:val="Normal1"/>
        <w:widowControl/>
        <w:numPr>
          <w:ilvl w:val="0"/>
          <w:numId w:val="13"/>
        </w:numPr>
        <w:spacing w:lineRule="auto" w:line="206" w:before="201" w:after="0"/>
        <w:ind w:hanging="212" w:left="1275" w:right="504"/>
        <w:jc w:val="both"/>
        <w:rPr>
          <w:lang w:val="es-ES"/>
        </w:rPr>
      </w:pPr>
      <w:r>
        <w:rPr>
          <w:rFonts w:eastAsia="Arial Narrow" w:cs="Arial Narrow" w:ascii="Arial Narrow" w:hAnsi="Arial Narrow"/>
          <w:sz w:val="22"/>
          <w:szCs w:val="22"/>
          <w:lang w:val="es-ES"/>
        </w:rPr>
        <w:t>Ejecutar, sin dilación indebida y, en la medida de lo posible en un plazo de cinco (5) días, cualquier instrucción del responsable del tratamiento relativa a la comunicación, rectificación y supresión de datos, o a la limitación o terminación del tratamiento. A petición del responsable del tratamiento, el encargado demostrará, por cualquier medio, que ha cumplido debidamente las instrucciones del responsable del tratamiento de conformidad con esta disposición.</w:t>
      </w:r>
    </w:p>
    <w:p>
      <w:pPr>
        <w:pStyle w:val="Normal1"/>
        <w:widowControl/>
        <w:spacing w:lineRule="auto" w:line="206" w:before="206" w:after="0"/>
        <w:ind w:hanging="288" w:left="792" w:right="504"/>
        <w:jc w:val="both"/>
        <w:rPr>
          <w:lang w:val="es-ES"/>
        </w:rPr>
      </w:pPr>
      <w:r>
        <w:rPr>
          <w:rFonts w:eastAsia="Arial Narrow" w:cs="Arial Narrow" w:ascii="Arial Narrow" w:hAnsi="Arial Narrow"/>
          <w:sz w:val="22"/>
          <w:szCs w:val="22"/>
          <w:lang w:val="es-ES"/>
        </w:rPr>
        <w:t>c) Además de la obligación del encargado de ayudar al responsable en virtud de la cláusula 8, letra b), el encargado también ayudará al responsable a garantizar el cumplimiento de las obligaciones siguientes teniendo en cuenta la naturaleza del tratamiento y la información de que disponga el encargado:</w:t>
      </w:r>
    </w:p>
    <w:p>
      <w:pPr>
        <w:pStyle w:val="Normal1"/>
        <w:widowControl/>
        <w:numPr>
          <w:ilvl w:val="0"/>
          <w:numId w:val="7"/>
        </w:numPr>
        <w:tabs>
          <w:tab w:val="clear" w:pos="720"/>
          <w:tab w:val="left" w:pos="1080" w:leader="none"/>
        </w:tabs>
        <w:spacing w:lineRule="auto" w:line="216" w:before="197" w:after="0"/>
        <w:ind w:hanging="288" w:left="1080" w:right="504"/>
        <w:jc w:val="both"/>
        <w:rPr>
          <w:lang w:val="es-ES"/>
        </w:rPr>
      </w:pPr>
      <w:r>
        <w:rPr>
          <w:rFonts w:eastAsia="Arial Narrow" w:cs="Arial Narrow" w:ascii="Arial Narrow" w:hAnsi="Arial Narrow"/>
          <w:sz w:val="22"/>
          <w:szCs w:val="22"/>
          <w:lang w:val="es-ES"/>
        </w:rPr>
        <w:t>La obligación de realizar una evaluación del impacto de las operaciones de tratamiento en la protección de datos personales («evaluación de impacto») cuando sea probable que un tipo de tratamiento suponga un alto riesgo para los derechos y libertades de las personas físicas. En el contexto de cualquier evaluación de impacto relativa a la protección de datos, el encargado del tratamiento facilitará al responsable del tratamiento toda la información que obre en su poder y que sea necesaria para llevar a cabo dicha evaluación, e informará inmediatamente por escrito al responsable del tratamiento de cualquier cambio o modificación que pueda afectar al tratamiento y/o a la evaluación. El encargado del tratamiento se compromete a establecer, en el plazo fijado en consulta con el responsable del tratamiento, las medidas que puedan resultar necesarias como consecuencia de la evaluación de impacto relativa a la protección de datos, destinadas a reducir a un nivel aceptable los riesgos asociados a los datos que trata por cuenta del responsable del tratamiento;</w:t>
      </w:r>
    </w:p>
    <w:p>
      <w:pPr>
        <w:pStyle w:val="Normal1"/>
        <w:widowControl/>
        <w:numPr>
          <w:ilvl w:val="0"/>
          <w:numId w:val="7"/>
        </w:numPr>
        <w:tabs>
          <w:tab w:val="clear" w:pos="720"/>
          <w:tab w:val="left" w:pos="1080" w:leader="none"/>
        </w:tabs>
        <w:spacing w:lineRule="auto" w:line="208" w:before="198" w:after="0"/>
        <w:ind w:hanging="288" w:left="1080" w:right="504"/>
        <w:jc w:val="both"/>
        <w:rPr>
          <w:lang w:val="es-ES"/>
        </w:rPr>
      </w:pPr>
      <w:r>
        <w:rPr>
          <w:rFonts w:eastAsia="Arial Narrow" w:cs="Arial Narrow" w:ascii="Arial Narrow" w:hAnsi="Arial Narrow"/>
          <w:sz w:val="22"/>
          <w:szCs w:val="22"/>
          <w:lang w:val="es-ES"/>
        </w:rPr>
        <w:t>la obligación de consultar a las autoridades de control competentes antes de proceder al tratamiento cuando una evaluación de impacto relativa a la protección de los datos muestre que el tratamiento entrañaría un alto riesgo si el responsable no toma medidas para mitigarlo;</w:t>
      </w:r>
    </w:p>
    <w:p>
      <w:pPr>
        <w:pStyle w:val="Normal1"/>
        <w:widowControl/>
        <w:numPr>
          <w:ilvl w:val="0"/>
          <w:numId w:val="7"/>
        </w:numPr>
        <w:tabs>
          <w:tab w:val="clear" w:pos="720"/>
          <w:tab w:val="left" w:pos="1080" w:leader="none"/>
        </w:tabs>
        <w:spacing w:lineRule="auto" w:line="206" w:before="205" w:after="0"/>
        <w:ind w:hanging="288" w:left="1080" w:right="504"/>
        <w:jc w:val="both"/>
        <w:rPr>
          <w:lang w:val="es-ES"/>
        </w:rPr>
      </w:pPr>
      <w:r>
        <w:rPr>
          <w:rFonts w:eastAsia="Arial Narrow" w:cs="Arial Narrow" w:ascii="Arial Narrow" w:hAnsi="Arial Narrow"/>
          <w:sz w:val="22"/>
          <w:szCs w:val="22"/>
          <w:lang w:val="es-ES"/>
        </w:rPr>
        <w:t>la obligación de garantizar que los datos personales sean exactos y estén actualizados, informando sin demora al responsable si el encargado descubre que los datos personales que está tratando son inexactos o han quedado obsoletos;</w:t>
      </w:r>
    </w:p>
    <w:p>
      <w:pPr>
        <w:pStyle w:val="Normal1"/>
        <w:widowControl/>
        <w:numPr>
          <w:ilvl w:val="0"/>
          <w:numId w:val="7"/>
        </w:numPr>
        <w:tabs>
          <w:tab w:val="clear" w:pos="720"/>
          <w:tab w:val="left" w:pos="1080" w:leader="none"/>
        </w:tabs>
        <w:spacing w:lineRule="auto" w:line="206" w:before="205" w:after="0"/>
        <w:ind w:hanging="288" w:left="1080" w:right="504"/>
        <w:jc w:val="both"/>
        <w:rPr>
          <w:lang w:val="es-ES"/>
        </w:rPr>
      </w:pPr>
      <w:r>
        <w:rPr>
          <w:rFonts w:eastAsia="Arial Narrow" w:cs="Arial Narrow" w:ascii="Arial Narrow" w:hAnsi="Arial Narrow"/>
          <w:sz w:val="22"/>
          <w:szCs w:val="22"/>
          <w:lang w:val="es-ES"/>
        </w:rPr>
        <w:t xml:space="preserve">las obligaciones contempladas en el artículo 32 del Reglamento (UE) 2016/679. Las partes establecerán en el </w:t>
      </w:r>
      <w:r>
        <w:rPr>
          <w:rFonts w:eastAsia="Arial Narrow" w:cs="Arial Narrow" w:ascii="Arial Narrow" w:hAnsi="Arial Narrow"/>
          <w:b/>
          <w:sz w:val="22"/>
          <w:szCs w:val="22"/>
          <w:lang w:val="es-ES"/>
        </w:rPr>
        <w:t xml:space="preserve">Apéndice I </w:t>
      </w:r>
      <w:r>
        <w:rPr>
          <w:rFonts w:eastAsia="Arial Narrow" w:cs="Arial Narrow" w:ascii="Arial Narrow" w:hAnsi="Arial Narrow"/>
          <w:sz w:val="22"/>
          <w:szCs w:val="22"/>
          <w:lang w:val="es-ES"/>
        </w:rPr>
        <w:t>medidas técnicas y organizativas apropiadas que obliguen al encargado a ayudar al responsable a aplicar la presente cláusula, así como el objeto y el alcance de la ayuda requerida.</w:t>
      </w:r>
    </w:p>
    <w:p>
      <w:pPr>
        <w:pStyle w:val="Normal1"/>
        <w:widowControl/>
        <w:spacing w:lineRule="auto" w:line="216" w:before="717" w:after="0"/>
        <w:jc w:val="center"/>
        <w:rPr>
          <w:lang w:val="es-ES"/>
        </w:rPr>
      </w:pPr>
      <w:r>
        <w:rPr>
          <w:rFonts w:eastAsia="Arial Narrow" w:cs="Arial Narrow" w:ascii="Arial Narrow" w:hAnsi="Arial Narrow"/>
          <w:i/>
          <w:sz w:val="22"/>
          <w:szCs w:val="22"/>
          <w:lang w:val="es-ES"/>
        </w:rPr>
        <w:t>Cláusula 9</w:t>
      </w:r>
    </w:p>
    <w:p>
      <w:pPr>
        <w:pStyle w:val="Normal1"/>
        <w:widowControl/>
        <w:spacing w:lineRule="auto" w:line="235" w:before="350" w:after="0"/>
        <w:jc w:val="center"/>
        <w:rPr>
          <w:lang w:val="es-ES"/>
        </w:rPr>
      </w:pPr>
      <w:r>
        <w:rPr>
          <w:rFonts w:eastAsia="Arial Narrow" w:cs="Arial Narrow" w:ascii="Arial Narrow" w:hAnsi="Arial Narrow"/>
          <w:b/>
          <w:i/>
          <w:sz w:val="22"/>
          <w:szCs w:val="22"/>
          <w:lang w:val="es-ES"/>
        </w:rPr>
        <w:t>Notificación de violaciones de la seguridad de los datos personales</w:t>
      </w:r>
    </w:p>
    <w:p>
      <w:pPr>
        <w:pStyle w:val="Normal1"/>
        <w:widowControl/>
        <w:spacing w:lineRule="auto" w:line="208" w:before="196" w:after="0"/>
        <w:ind w:hanging="0" w:left="504" w:right="504"/>
        <w:jc w:val="both"/>
        <w:rPr>
          <w:lang w:val="es-ES"/>
        </w:rPr>
      </w:pPr>
      <w:r>
        <w:rPr>
          <w:rFonts w:eastAsia="Arial Narrow" w:cs="Arial Narrow" w:ascii="Arial Narrow" w:hAnsi="Arial Narrow"/>
          <w:sz w:val="22"/>
          <w:szCs w:val="22"/>
          <w:lang w:val="es-ES"/>
        </w:rPr>
        <w:t>En caso de violación de la seguridad de los datos personales, el encargado colaborará con el responsable y le ayudará a cumplir las obligaciones que le atribuyen los artículos 33 y 34 del Reglamento (UE) 2016/679 teniendo en cuenta la naturaleza del tratamiento y la información de que disponga el encargado.</w:t>
      </w:r>
    </w:p>
    <w:p>
      <w:pPr>
        <w:pStyle w:val="Normal1"/>
        <w:widowControl/>
        <w:spacing w:lineRule="auto" w:line="208" w:before="196" w:after="0"/>
        <w:ind w:hanging="0" w:left="504"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spacing w:lineRule="auto" w:line="208" w:before="196" w:after="0"/>
        <w:ind w:hanging="0" w:left="504" w:right="504"/>
        <w:jc w:val="both"/>
        <w:rPr>
          <w:lang w:val="es-ES"/>
        </w:rPr>
      </w:pPr>
      <w:r>
        <w:rPr>
          <w:rFonts w:eastAsia="Arial Narrow" w:cs="Arial Narrow" w:ascii="Arial Narrow" w:hAnsi="Arial Narrow"/>
          <w:sz w:val="22"/>
          <w:szCs w:val="22"/>
          <w:lang w:val="es-ES"/>
        </w:rPr>
        <w:t>9</w:t>
      </w:r>
      <w:r>
        <mc:AlternateContent>
          <mc:Choice Requires="wps">
            <w:drawing>
              <wp:anchor behindDoc="0" distT="5715" distB="5080" distL="5080" distR="5715" simplePos="0" locked="0" layoutInCell="0" allowOverlap="1" relativeHeight="15">
                <wp:simplePos x="0" y="0"/>
                <wp:positionH relativeFrom="page">
                  <wp:posOffset>-30480</wp:posOffset>
                </wp:positionH>
                <wp:positionV relativeFrom="page">
                  <wp:posOffset>-23495</wp:posOffset>
                </wp:positionV>
                <wp:extent cx="60325" cy="60325"/>
                <wp:effectExtent l="5080" t="5715" r="5715" b="5080"/>
                <wp:wrapNone/>
                <wp:docPr id="4" name="Forma4"/>
                <a:graphic xmlns:a="http://schemas.openxmlformats.org/drawingml/2006/main">
                  <a:graphicData uri="http://schemas.microsoft.com/office/word/2010/wordprocessingShape">
                    <wps:wsp>
                      <wps:cNvSpPr/>
                      <wps:spPr>
                        <a:xfrm>
                          <a:off x="0" y="0"/>
                          <a:ext cx="60480" cy="60480"/>
                        </a:xfrm>
                        <a:prstGeom prst="straightConnector1">
                          <a:avLst/>
                        </a:prstGeom>
                        <a:solidFill>
                          <a:srgbClr val="ffffff"/>
                        </a:solidFill>
                        <a:ln w="9525">
                          <a:solidFill>
                            <a:srgbClr val="000000"/>
                          </a:solidFill>
                          <a:round/>
                        </a:ln>
                      </wps:spPr>
                      <wps:style>
                        <a:lnRef idx="0"/>
                        <a:fillRef idx="0"/>
                        <a:effectRef idx="0"/>
                        <a:fontRef idx="minor"/>
                      </wps:style>
                      <wps:bodyPr/>
                    </wps:wsp>
                  </a:graphicData>
                </a:graphic>
              </wp:anchor>
            </w:drawing>
          </mc:Choice>
          <mc:Fallback>
            <w:pict>
              <v:shape id="shape_0" ID="Forma4" path="m0,0l-2147483648,-2147483647e" fillcolor="white" stroked="t" o:allowincell="f" style="position:absolute;margin-left:-2.4pt;margin-top:-1.85pt;width:4.7pt;height:4.7pt;mso-wrap-style:none;v-text-anchor:middle;mso-position-horizontal-relative:page;mso-position-vertical-relative:page" type="_x0000_t32">
                <v:fill o:detectmouseclick="t" type="solid" color2="black"/>
                <v:stroke color="black" weight="9360" joinstyle="round" endcap="flat"/>
                <w10:wrap type="none"/>
              </v:shape>
            </w:pict>
          </mc:Fallback>
        </mc:AlternateContent>
      </w:r>
      <w:r>
        <w:rPr>
          <w:rFonts w:eastAsia="Arial Narrow" w:cs="Arial Narrow" w:ascii="Arial Narrow" w:hAnsi="Arial Narrow"/>
          <w:sz w:val="22"/>
          <w:szCs w:val="22"/>
          <w:lang w:val="es-ES"/>
        </w:rPr>
        <w:t xml:space="preserve">.1. </w:t>
      </w:r>
      <w:r>
        <w:rPr>
          <w:rFonts w:eastAsia="Arial Narrow" w:cs="Arial Narrow" w:ascii="Arial Narrow" w:hAnsi="Arial Narrow"/>
          <w:b/>
          <w:sz w:val="22"/>
          <w:szCs w:val="22"/>
          <w:lang w:val="es-ES"/>
        </w:rPr>
        <w:t>Violación de la seguridad de datos personales tratados por el responsable</w:t>
      </w:r>
    </w:p>
    <w:p>
      <w:pPr>
        <w:pStyle w:val="Normal1"/>
        <w:widowControl/>
        <w:spacing w:lineRule="auto" w:line="216" w:before="149" w:after="0"/>
        <w:ind w:hanging="0" w:left="504" w:right="504"/>
        <w:jc w:val="both"/>
        <w:rPr>
          <w:lang w:val="es-ES"/>
        </w:rPr>
      </w:pPr>
      <w:r>
        <w:rPr>
          <w:rFonts w:eastAsia="Arial Narrow" w:cs="Arial Narrow" w:ascii="Arial Narrow" w:hAnsi="Arial Narrow"/>
          <w:sz w:val="22"/>
          <w:szCs w:val="22"/>
          <w:lang w:val="es-ES"/>
        </w:rPr>
        <w:t>En caso de violación de la seguridad de los datos personales en relación con los datos tratados por el responsable, el encargado ayudará al responsable en lo siguiente.</w:t>
      </w:r>
    </w:p>
    <w:p>
      <w:pPr>
        <w:pStyle w:val="Normal1"/>
        <w:widowControl/>
        <w:spacing w:lineRule="auto" w:line="206" w:before="157" w:after="0"/>
        <w:ind w:hanging="288" w:left="792" w:right="504"/>
        <w:jc w:val="both"/>
        <w:rPr>
          <w:lang w:val="es-ES"/>
        </w:rPr>
      </w:pPr>
      <w:r>
        <w:rPr>
          <w:rFonts w:eastAsia="Arial Narrow" w:cs="Arial Narrow" w:ascii="Arial Narrow" w:hAnsi="Arial Narrow"/>
          <w:sz w:val="22"/>
          <w:szCs w:val="22"/>
          <w:lang w:val="es-ES"/>
        </w:rPr>
        <w:t>a) Notificar la violación de la seguridad de los datos personales a las autoridades de control competentees sin dilación indebida una vez tenga constancia de ella, si procede (a menos que sea improbable que dicha violación de la seguridad constituya un riesgo para los derechos y las libertades de las personas físicas).</w:t>
      </w:r>
    </w:p>
    <w:p>
      <w:pPr>
        <w:pStyle w:val="Normal1"/>
        <w:widowControl/>
        <w:spacing w:lineRule="auto" w:line="206" w:before="163" w:after="0"/>
        <w:ind w:hanging="288" w:left="792" w:right="504"/>
        <w:jc w:val="both"/>
        <w:rPr>
          <w:lang w:val="es-ES"/>
        </w:rPr>
      </w:pPr>
      <w:r>
        <w:rPr>
          <w:rFonts w:eastAsia="Arial Narrow" w:cs="Arial Narrow" w:ascii="Arial Narrow" w:hAnsi="Arial Narrow"/>
          <w:sz w:val="22"/>
          <w:szCs w:val="22"/>
          <w:lang w:val="es-ES"/>
        </w:rPr>
        <w:t>b) Recabar la información siguiente, que, de conformidad con  el artículo 33, apartado 3, del Reglamento (UE) 2016/679, deberá figurar en la notificación del responsable, que debe incluir como mínimo:</w:t>
      </w:r>
    </w:p>
    <w:p>
      <w:pPr>
        <w:pStyle w:val="Normal1"/>
        <w:widowControl/>
        <w:numPr>
          <w:ilvl w:val="0"/>
          <w:numId w:val="2"/>
        </w:numPr>
        <w:tabs>
          <w:tab w:val="clear" w:pos="720"/>
          <w:tab w:val="left" w:pos="1080" w:leader="none"/>
        </w:tabs>
        <w:spacing w:lineRule="auto" w:line="216" w:before="154" w:after="0"/>
        <w:ind w:hanging="288" w:left="1080" w:right="504"/>
        <w:jc w:val="both"/>
        <w:rPr>
          <w:lang w:val="es-ES"/>
        </w:rPr>
      </w:pPr>
      <w:r>
        <w:rPr>
          <w:rFonts w:eastAsia="Arial Narrow" w:cs="Arial Narrow" w:ascii="Arial Narrow" w:hAnsi="Arial Narrow"/>
          <w:sz w:val="22"/>
          <w:szCs w:val="22"/>
          <w:lang w:val="es-ES"/>
        </w:rPr>
        <w:t>la naturaleza de los datos personales, inclusive, cuando sea posible, las categorías y el número aproximado de interesados afectados, y las categorías y el número aproximado de registros de datos personales afectados;</w:t>
      </w:r>
    </w:p>
    <w:p>
      <w:pPr>
        <w:pStyle w:val="Normal1"/>
        <w:widowControl/>
        <w:numPr>
          <w:ilvl w:val="0"/>
          <w:numId w:val="2"/>
        </w:numPr>
        <w:tabs>
          <w:tab w:val="clear" w:pos="720"/>
          <w:tab w:val="left" w:pos="1080" w:leader="none"/>
        </w:tabs>
        <w:spacing w:lineRule="auto" w:line="228" w:before="141" w:after="0"/>
        <w:ind w:hanging="288" w:left="1080"/>
        <w:jc w:val="both"/>
        <w:rPr>
          <w:lang w:val="es-ES"/>
        </w:rPr>
      </w:pPr>
      <w:r>
        <w:rPr>
          <w:rFonts w:eastAsia="Arial Narrow" w:cs="Arial Narrow" w:ascii="Arial Narrow" w:hAnsi="Arial Narrow"/>
          <w:sz w:val="22"/>
          <w:szCs w:val="22"/>
          <w:lang w:val="es-ES"/>
        </w:rPr>
        <w:t>las consecuencias probables de la violación de la seguridad de los datos personales;</w:t>
      </w:r>
    </w:p>
    <w:p>
      <w:pPr>
        <w:pStyle w:val="Normal1"/>
        <w:widowControl/>
        <w:numPr>
          <w:ilvl w:val="0"/>
          <w:numId w:val="2"/>
        </w:numPr>
        <w:tabs>
          <w:tab w:val="clear" w:pos="720"/>
          <w:tab w:val="left" w:pos="1080" w:leader="none"/>
        </w:tabs>
        <w:spacing w:lineRule="auto" w:line="206" w:before="158" w:after="0"/>
        <w:ind w:hanging="288" w:left="1080" w:right="504"/>
        <w:jc w:val="both"/>
        <w:rPr>
          <w:lang w:val="es-ES"/>
        </w:rPr>
      </w:pPr>
      <w:r>
        <w:rPr>
          <w:rFonts w:eastAsia="Arial Narrow" w:cs="Arial Narrow" w:ascii="Arial Narrow" w:hAnsi="Arial Narrow"/>
          <w:sz w:val="22"/>
          <w:szCs w:val="22"/>
          <w:lang w:val="es-ES"/>
        </w:rPr>
        <w:t>las medidas adoptadas o propuestas por el responsable del tratamiento para poner remedio a la violación de la seguridad de los datos personales, incluyendo, si procede, las medidas adoptadas para mitigar los posibles efectos negativos.</w:t>
      </w:r>
    </w:p>
    <w:p>
      <w:pPr>
        <w:pStyle w:val="Normal1"/>
        <w:widowControl/>
        <w:spacing w:lineRule="auto" w:line="208" w:before="160" w:after="0"/>
        <w:ind w:hanging="0" w:left="850" w:right="504"/>
        <w:jc w:val="both"/>
        <w:rPr>
          <w:lang w:val="es-ES"/>
        </w:rPr>
      </w:pPr>
      <w:r>
        <w:rPr>
          <w:rFonts w:eastAsia="Arial Narrow" w:cs="Arial Narrow" w:ascii="Arial Narrow" w:hAnsi="Arial Narrow"/>
          <w:sz w:val="22"/>
          <w:szCs w:val="22"/>
          <w:lang w:val="es-ES"/>
        </w:rPr>
        <w:t>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pPr>
        <w:pStyle w:val="Normal1"/>
        <w:widowControl/>
        <w:spacing w:lineRule="auto" w:line="208" w:before="156" w:after="0"/>
        <w:ind w:hanging="288" w:left="792" w:right="504"/>
        <w:jc w:val="both"/>
        <w:rPr>
          <w:lang w:val="es-ES"/>
        </w:rPr>
      </w:pPr>
      <w:r>
        <w:rPr>
          <w:rFonts w:eastAsia="Arial Narrow" w:cs="Arial Narrow" w:ascii="Arial Narrow" w:hAnsi="Arial Narrow"/>
          <w:sz w:val="22"/>
          <w:szCs w:val="22"/>
          <w:lang w:val="es-ES"/>
        </w:rPr>
        <w:t>c) Cumplir, con arreglo al artículo 34 del Reglamento (UE) 2016/679, la obligación de comunicar sin dilación indebida al interesado la violación de la seguridad de los datos personales cuando sea probable que la violación de la seguridad entrañe un alto riesgo para los derechos y libertades de las personas físicas.</w:t>
      </w:r>
    </w:p>
    <w:p>
      <w:pPr>
        <w:pStyle w:val="Normal1"/>
        <w:widowControl/>
        <w:spacing w:lineRule="auto" w:line="235" w:before="391" w:after="0"/>
        <w:ind w:hanging="0" w:left="504"/>
        <w:rPr>
          <w:lang w:val="es-ES"/>
        </w:rPr>
      </w:pPr>
      <w:r>
        <w:rPr>
          <w:rFonts w:eastAsia="Arial Narrow" w:cs="Arial Narrow" w:ascii="Arial Narrow" w:hAnsi="Arial Narrow"/>
          <w:sz w:val="22"/>
          <w:szCs w:val="22"/>
          <w:lang w:val="es-ES"/>
        </w:rPr>
        <w:t xml:space="preserve">9.2. </w:t>
      </w:r>
      <w:r>
        <w:rPr>
          <w:rFonts w:eastAsia="Arial Narrow" w:cs="Arial Narrow" w:ascii="Arial Narrow" w:hAnsi="Arial Narrow"/>
          <w:b/>
          <w:sz w:val="22"/>
          <w:szCs w:val="22"/>
          <w:lang w:val="es-ES"/>
        </w:rPr>
        <w:t>Violación de la seguridad de datos personales tratados por el encargado</w:t>
      </w:r>
    </w:p>
    <w:p>
      <w:pPr>
        <w:pStyle w:val="Normal1"/>
        <w:widowControl/>
        <w:spacing w:lineRule="auto" w:line="204" w:before="159" w:after="0"/>
        <w:ind w:hanging="0" w:left="504" w:right="504"/>
        <w:jc w:val="both"/>
        <w:rPr>
          <w:lang w:val="es-ES"/>
        </w:rPr>
      </w:pPr>
      <w:r>
        <w:rPr>
          <w:rFonts w:eastAsia="Arial Narrow" w:cs="Arial Narrow" w:ascii="Arial Narrow" w:hAnsi="Arial Narrow"/>
          <w:sz w:val="22"/>
          <w:szCs w:val="22"/>
          <w:lang w:val="es-ES"/>
        </w:rPr>
        <w:t>En caso de violación de la seguridad de datos personales tratados por el encargado, este lo notificará al responsable sin dilación indebida y en todo caso en el plazo máximo de setenta y dos (72) horas una vez que el encargado tenga constancia de ella. Dicha notificación deberá incluir como mínimo:</w:t>
      </w:r>
    </w:p>
    <w:p>
      <w:pPr>
        <w:pStyle w:val="Normal1"/>
        <w:widowControl/>
        <w:numPr>
          <w:ilvl w:val="0"/>
          <w:numId w:val="14"/>
        </w:numPr>
        <w:tabs>
          <w:tab w:val="clear" w:pos="720"/>
          <w:tab w:val="left" w:pos="792" w:leader="none"/>
        </w:tabs>
        <w:spacing w:lineRule="auto" w:line="216" w:before="154" w:after="0"/>
        <w:ind w:hanging="288" w:left="792" w:right="504"/>
        <w:jc w:val="both"/>
        <w:rPr>
          <w:lang w:val="es-ES"/>
        </w:rPr>
      </w:pPr>
      <w:r>
        <w:rPr>
          <w:rFonts w:eastAsia="Arial Narrow" w:cs="Arial Narrow" w:ascii="Arial Narrow" w:hAnsi="Arial Narrow"/>
          <w:sz w:val="22"/>
          <w:szCs w:val="22"/>
          <w:lang w:val="es-ES"/>
        </w:rPr>
        <w:t>una descripción de la naturaleza de la violación de la seguridad (inclusive, cuando sea posible, las categorías y el número aproximado de interesados y de registros de datos afectados);</w:t>
      </w:r>
    </w:p>
    <w:p>
      <w:pPr>
        <w:pStyle w:val="Normal1"/>
        <w:widowControl/>
        <w:numPr>
          <w:ilvl w:val="0"/>
          <w:numId w:val="14"/>
        </w:numPr>
        <w:tabs>
          <w:tab w:val="clear" w:pos="720"/>
          <w:tab w:val="left" w:pos="792" w:leader="none"/>
        </w:tabs>
        <w:spacing w:lineRule="auto" w:line="216" w:before="153" w:after="0"/>
        <w:ind w:hanging="288" w:left="792" w:right="504"/>
        <w:jc w:val="both"/>
        <w:rPr>
          <w:lang w:val="es-ES"/>
        </w:rPr>
      </w:pPr>
      <w:r>
        <w:rPr>
          <w:rFonts w:eastAsia="Arial Narrow" w:cs="Arial Narrow" w:ascii="Arial Narrow" w:hAnsi="Arial Narrow"/>
          <w:sz w:val="22"/>
          <w:szCs w:val="22"/>
          <w:lang w:val="es-ES"/>
        </w:rPr>
        <w:t>los datos de un punto de contacto en el que pueda obtenerse más información sobre la violación de la seguridad de los datos personales;</w:t>
      </w:r>
    </w:p>
    <w:p>
      <w:pPr>
        <w:pStyle w:val="Normal1"/>
        <w:widowControl/>
        <w:numPr>
          <w:ilvl w:val="0"/>
          <w:numId w:val="14"/>
        </w:numPr>
        <w:tabs>
          <w:tab w:val="clear" w:pos="720"/>
          <w:tab w:val="left" w:pos="792" w:leader="none"/>
        </w:tabs>
        <w:spacing w:lineRule="auto" w:line="216" w:before="154" w:after="0"/>
        <w:ind w:hanging="288" w:left="792" w:right="504"/>
        <w:jc w:val="both"/>
        <w:rPr>
          <w:lang w:val="es-ES"/>
        </w:rPr>
      </w:pPr>
      <w:r>
        <w:rPr>
          <w:rFonts w:eastAsia="Arial Narrow" w:cs="Arial Narrow" w:ascii="Arial Narrow" w:hAnsi="Arial Narrow"/>
          <w:sz w:val="22"/>
          <w:szCs w:val="22"/>
          <w:lang w:val="es-ES"/>
        </w:rPr>
        <w:t>sus consecuencias probables y las medidas adoptadas o propuestas para poner remedio a la violación de la seguridad, incluyendo las medidas adoptadas para mitigar los posibles efectos negativos.</w:t>
      </w:r>
    </w:p>
    <w:p>
      <w:pPr>
        <w:pStyle w:val="Normal1"/>
        <w:widowControl/>
        <w:spacing w:lineRule="auto" w:line="208" w:before="155" w:after="0"/>
        <w:ind w:hanging="0" w:left="504" w:right="504"/>
        <w:jc w:val="both"/>
        <w:rPr>
          <w:lang w:val="es-ES"/>
        </w:rPr>
      </w:pPr>
      <w:r>
        <w:rPr>
          <w:rFonts w:eastAsia="Arial Narrow" w:cs="Arial Narrow" w:ascii="Arial Narrow" w:hAnsi="Arial Narrow"/>
          <w:sz w:val="22"/>
          <w:szCs w:val="22"/>
          <w:lang w:val="es-ES"/>
        </w:rPr>
        <w:t>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pPr>
        <w:pStyle w:val="Normal1"/>
        <w:widowControl/>
        <w:spacing w:lineRule="auto" w:line="206" w:before="162" w:after="0"/>
        <w:ind w:hanging="0" w:left="504" w:right="504"/>
        <w:jc w:val="both"/>
        <w:rPr>
          <w:lang w:val="es-ES"/>
        </w:rPr>
      </w:pPr>
      <w:r>
        <w:rPr>
          <w:rFonts w:eastAsia="Arial Narrow" w:cs="Arial Narrow" w:ascii="Arial Narrow" w:hAnsi="Arial Narrow"/>
          <w:sz w:val="22"/>
          <w:szCs w:val="22"/>
          <w:lang w:val="es-ES"/>
        </w:rPr>
        <w:t xml:space="preserve">El encargado cumplimentará la plantilla de reporte de violaciones de seguridad de los datos personales que se adjunta como </w:t>
      </w:r>
      <w:r>
        <w:rPr>
          <w:rFonts w:eastAsia="Arial Narrow" w:cs="Arial Narrow" w:ascii="Arial Narrow" w:hAnsi="Arial Narrow"/>
          <w:b/>
          <w:sz w:val="22"/>
          <w:szCs w:val="22"/>
          <w:lang w:val="es-ES"/>
        </w:rPr>
        <w:t>Apéndice III</w:t>
      </w:r>
      <w:r>
        <w:rPr>
          <w:rFonts w:eastAsia="Arial Narrow" w:cs="Arial Narrow" w:ascii="Arial Narrow" w:hAnsi="Arial Narrow"/>
          <w:sz w:val="22"/>
          <w:szCs w:val="22"/>
          <w:lang w:val="es-ES"/>
        </w:rPr>
        <w:t xml:space="preserve"> para ayudar al responsable a cumplir las obligaciones que le atribuyen los artículos 33 y 34 del Reglamento (UE) 2016/679.</w:t>
      </w:r>
    </w:p>
    <w:p>
      <w:pPr>
        <w:pStyle w:val="Normal1"/>
        <w:widowControl/>
        <w:spacing w:lineRule="auto" w:line="206" w:before="162" w:after="0"/>
        <w:ind w:hanging="0" w:left="504" w:right="504"/>
        <w:jc w:val="both"/>
        <w:rPr>
          <w:lang w:val="es-ES"/>
        </w:rPr>
      </w:pPr>
      <w:r>
        <w:rPr>
          <w:rFonts w:eastAsia="Arial Narrow" w:cs="Arial Narrow" w:ascii="Arial Narrow" w:hAnsi="Arial Narrow"/>
          <w:sz w:val="22"/>
          <w:szCs w:val="22"/>
          <w:lang w:val="es-ES"/>
        </w:rPr>
        <w:t>El encargado también se compromete :</w:t>
      </w:r>
    </w:p>
    <w:p>
      <w:pPr>
        <w:pStyle w:val="Normal1"/>
        <w:widowControl/>
        <w:numPr>
          <w:ilvl w:val="0"/>
          <w:numId w:val="3"/>
        </w:numPr>
        <w:ind w:hanging="360" w:left="1440"/>
        <w:jc w:val="both"/>
        <w:rPr>
          <w:lang w:val="es-ES"/>
        </w:rPr>
      </w:pPr>
      <w:r>
        <w:rPr>
          <w:rFonts w:eastAsia="Arial Narrow" w:cs="Arial Narrow" w:ascii="Arial Narrow" w:hAnsi="Arial Narrow"/>
          <w:sz w:val="22"/>
          <w:szCs w:val="22"/>
          <w:lang w:val="es-ES"/>
        </w:rPr>
        <w:t>participar en cualquier acción de comunicación decidida por el responsable del tratamiento;</w:t>
      </w:r>
    </w:p>
    <w:p>
      <w:pPr>
        <w:pStyle w:val="Normal1"/>
        <w:widowControl/>
        <w:numPr>
          <w:ilvl w:val="0"/>
          <w:numId w:val="3"/>
        </w:numPr>
        <w:ind w:hanging="360" w:left="1440" w:right="450"/>
        <w:jc w:val="both"/>
        <w:rPr>
          <w:lang w:val="es-ES"/>
        </w:rPr>
      </w:pPr>
      <w:r>
        <w:rPr>
          <w:rFonts w:eastAsia="Arial Narrow" w:cs="Arial Narrow" w:ascii="Arial Narrow" w:hAnsi="Arial Narrow"/>
          <w:sz w:val="22"/>
          <w:szCs w:val="22"/>
          <w:lang w:val="es-ES"/>
        </w:rPr>
        <w:t>a colaborar con el responsable del tratamiento, sin coste adicional alguno, en la adopción de todas las medidas razonables para poner fin a esta violación de datos personales, reparar en la medida de lo posible cualquier daño imputable al mismo que esta violación de datos personales haya podido causar y evitar la repetición de un incidente similar.</w:t>
      </w:r>
    </w:p>
    <w:p>
      <w:pPr>
        <w:pStyle w:val="Normal1"/>
        <w:spacing w:lineRule="auto" w:line="228" w:before="115" w:after="0"/>
        <w:ind w:hanging="0" w:left="566" w:right="450"/>
        <w:jc w:val="both"/>
        <w:rPr>
          <w:lang w:val="es-ES"/>
        </w:rPr>
      </w:pPr>
      <w:r>
        <w:rPr>
          <w:rFonts w:eastAsia="Arial Narrow" w:cs="Arial Narrow" w:ascii="Arial Narrow" w:hAnsi="Arial Narrow"/>
          <w:sz w:val="22"/>
          <w:szCs w:val="22"/>
          <w:lang w:val="es-ES"/>
        </w:rPr>
        <w:t>Además, el encargado del tratamiento no comunicará ni divulgará la violación de los datos personales, a menos que esté legalmente obligado a hacerlo. En cualquier caso, el encargado del tratamiento no incluirá al responsable del tratamiento en su comunicación sin el consentimiento previo por escrito de éste. El encargado del tratamiento también se compromete a adoptar las medidas adecuadas para remediar la violación, incluidas medidas para mitigar sus efectos negativos.</w:t>
      </w:r>
    </w:p>
    <w:p>
      <w:pPr>
        <w:pStyle w:val="Normal1"/>
        <w:spacing w:lineRule="auto" w:line="228" w:before="115" w:after="0"/>
        <w:ind w:hanging="0" w:left="566" w:right="450"/>
        <w:jc w:val="both"/>
        <w:rPr>
          <w:lang w:val="es-ES"/>
        </w:rPr>
      </w:pPr>
      <w:r>
        <w:rPr>
          <w:rFonts w:eastAsia="Arial Narrow" w:cs="Arial Narrow" w:ascii="Arial Narrow" w:hAnsi="Arial Narrow"/>
          <w:sz w:val="22"/>
          <w:szCs w:val="22"/>
          <w:lang w:val="es-ES"/>
        </w:rPr>
        <w:t xml:space="preserve">El encargado del tratamiento cumplimentará, en su caso, el formulario de notificación del </w:t>
      </w:r>
      <w:r>
        <w:rPr>
          <w:rFonts w:eastAsia="Arial Narrow" w:cs="Arial Narrow" w:ascii="Arial Narrow" w:hAnsi="Arial Narrow"/>
          <w:b/>
          <w:sz w:val="22"/>
          <w:szCs w:val="22"/>
          <w:lang w:val="es-ES"/>
        </w:rPr>
        <w:t xml:space="preserve">Apéndice III </w:t>
      </w:r>
      <w:r>
        <w:rPr>
          <w:rFonts w:eastAsia="Arial Narrow" w:cs="Arial Narrow" w:ascii="Arial Narrow" w:hAnsi="Arial Narrow"/>
          <w:sz w:val="22"/>
          <w:szCs w:val="22"/>
          <w:lang w:val="es-ES"/>
        </w:rPr>
        <w:t xml:space="preserve">y lo enviará a la dirección de correo electrónico del responsable del contrato identificada en el Acuerdo / Contrato Principal  y de su DPO en caso de que cuente con él. Deberá adjuntarse a la notificación, en caso necesario, cualquier documentación o información que pueda ser útil para que el responsable del tratamiento notifique la violación de los datos a la autoridad de control competente y a los interesados, así como el nombre y los datos de contacto actualizados del RPD del encargado del tratamiento o de cualquier otra persona que pueda facilitar información adicional. </w:t>
      </w:r>
    </w:p>
    <w:p>
      <w:pPr>
        <w:pStyle w:val="Normal1"/>
        <w:widowControl/>
        <w:spacing w:lineRule="auto" w:line="206" w:before="162" w:after="0"/>
        <w:ind w:hanging="0" w:left="504"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spacing w:lineRule="auto" w:line="206" w:before="162" w:after="0"/>
        <w:ind w:hanging="0" w:left="504"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spacing w:lineRule="auto" w:line="192" w:before="400" w:after="0"/>
        <w:jc w:val="center"/>
        <w:rPr>
          <w:lang w:val="es-ES"/>
        </w:rPr>
      </w:pPr>
      <w:r>
        <w:rPr>
          <w:rFonts w:eastAsia="Arial Narrow" w:cs="Arial Narrow" w:ascii="Arial Narrow" w:hAnsi="Arial Narrow"/>
          <w:sz w:val="22"/>
          <w:szCs w:val="22"/>
          <w:lang w:val="es-ES"/>
        </w:rPr>
        <w:t>SECCIÓN III</w:t>
      </w:r>
    </w:p>
    <w:p>
      <w:pPr>
        <w:pStyle w:val="Normal1"/>
        <w:widowControl/>
        <w:spacing w:lineRule="auto" w:line="192" w:before="276" w:after="0"/>
        <w:jc w:val="center"/>
        <w:rPr>
          <w:lang w:val="es-ES"/>
        </w:rPr>
      </w:pPr>
      <w:r>
        <w:rPr>
          <w:rFonts w:eastAsia="Arial Narrow" w:cs="Arial Narrow" w:ascii="Arial Narrow" w:hAnsi="Arial Narrow"/>
          <w:b/>
          <w:sz w:val="22"/>
          <w:szCs w:val="22"/>
          <w:lang w:val="es-ES"/>
        </w:rPr>
        <w:t>DISPOSICIONES FINALES</w:t>
      </w:r>
    </w:p>
    <w:p>
      <w:pPr>
        <w:pStyle w:val="Normal1"/>
        <w:widowControl/>
        <w:spacing w:lineRule="auto" w:line="216" w:before="569" w:after="0"/>
        <w:jc w:val="center"/>
        <w:rPr>
          <w:lang w:val="es-ES"/>
        </w:rPr>
      </w:pPr>
      <w:r>
        <w:rPr>
          <w:rFonts w:eastAsia="Arial Narrow" w:cs="Arial Narrow" w:ascii="Arial Narrow" w:hAnsi="Arial Narrow"/>
          <w:i/>
          <w:sz w:val="22"/>
          <w:szCs w:val="22"/>
          <w:lang w:val="es-ES"/>
        </w:rPr>
        <w:t>Cláusula 10</w:t>
      </w:r>
    </w:p>
    <w:p>
      <w:pPr>
        <w:pStyle w:val="Normal1"/>
        <w:widowControl/>
        <w:spacing w:lineRule="auto" w:line="235" w:before="273" w:after="0"/>
        <w:jc w:val="center"/>
        <w:rPr>
          <w:lang w:val="es-ES"/>
        </w:rPr>
      </w:pPr>
      <w:r>
        <w:rPr>
          <w:rFonts w:eastAsia="Arial Narrow" w:cs="Arial Narrow" w:ascii="Arial Narrow" w:hAnsi="Arial Narrow"/>
          <w:b/>
          <w:i/>
          <w:sz w:val="22"/>
          <w:szCs w:val="22"/>
          <w:lang w:val="es-ES"/>
        </w:rPr>
        <w:t>Incumplimiento de las cláusulas y resolución del contrato</w:t>
      </w:r>
    </w:p>
    <w:p>
      <w:pPr>
        <w:pStyle w:val="Normal1"/>
        <w:widowControl/>
        <w:spacing w:lineRule="auto" w:line="206" w:before="154" w:after="0"/>
        <w:ind w:hanging="288" w:left="792" w:right="504"/>
        <w:jc w:val="both"/>
        <w:rPr>
          <w:lang w:val="es-ES"/>
        </w:rPr>
      </w:pPr>
      <w:r>
        <w:rPr>
          <w:rFonts w:eastAsia="Arial Narrow" w:cs="Arial Narrow" w:ascii="Arial Narrow" w:hAnsi="Arial Narrow"/>
          <w:sz w:val="22"/>
          <w:szCs w:val="22"/>
          <w:lang w:val="es-ES"/>
        </w:rPr>
        <w:t>a) Sin perjuicio de lo dispuesto en el Reglamento (UE) 2016/679 , en caso de que el encargado del tratamiento incumpla las obligaciones que le atribuye las presentes Cláusulas, el responsable podrá ordenar al encargado que suspenda el tratamiento de datos personales hasta que este vuelva a dar cumplimiento a las presentes Cláusulas, o resolver el contrato. El encargado informará con presteza al responsable en caso de que no pueda dar cumplimiento a las presentes Cláusulas por cualquier motivo.</w:t>
      </w:r>
    </w:p>
    <w:p>
      <w:pPr>
        <w:pStyle w:val="Normal1"/>
        <w:widowControl/>
        <w:spacing w:lineRule="auto" w:line="204" w:before="278" w:after="0"/>
        <w:ind w:hanging="288" w:left="792" w:right="504"/>
        <w:jc w:val="both"/>
        <w:rPr>
          <w:lang w:val="es-ES"/>
        </w:rPr>
      </w:pPr>
      <w:r>
        <w:rPr>
          <w:rFonts w:eastAsia="Arial Narrow" w:cs="Arial Narrow" w:ascii="Arial Narrow" w:hAnsi="Arial Narrow"/>
          <w:sz w:val="22"/>
          <w:szCs w:val="22"/>
          <w:lang w:val="es-ES"/>
        </w:rPr>
        <w:t>b) El responsable estará facultado para resolver el contrato en lo que se refiera al tratamiento de datos personales en virtud de las presentes Cláusulas cuando:</w:t>
      </w:r>
    </w:p>
    <w:p>
      <w:pPr>
        <w:pStyle w:val="Normal1"/>
        <w:widowControl/>
        <w:numPr>
          <w:ilvl w:val="0"/>
          <w:numId w:val="8"/>
        </w:numPr>
        <w:tabs>
          <w:tab w:val="clear" w:pos="720"/>
          <w:tab w:val="left" w:pos="1080" w:leader="none"/>
        </w:tabs>
        <w:spacing w:lineRule="auto" w:line="206" w:before="110" w:after="0"/>
        <w:ind w:hanging="288" w:left="1080" w:right="504"/>
        <w:jc w:val="both"/>
        <w:rPr>
          <w:lang w:val="es-ES"/>
        </w:rPr>
      </w:pPr>
      <w:r>
        <w:rPr>
          <w:rFonts w:eastAsia="Arial Narrow" w:cs="Arial Narrow" w:ascii="Arial Narrow" w:hAnsi="Arial Narrow"/>
          <w:sz w:val="22"/>
          <w:szCs w:val="22"/>
          <w:lang w:val="es-ES"/>
        </w:rPr>
        <w:t>el tratamiento de datos personales por parte del encargado haya sido suspendido por el responsable con arreglo a la letra a) y no se vuelva a dar cumplimiento a las presentes Cláusulas en un plazo razonable y, en cualquier caso, en un plazo de un mes a contar desde la suspensión;</w:t>
      </w:r>
    </w:p>
    <w:p>
      <w:pPr>
        <w:pStyle w:val="Normal1"/>
        <w:widowControl/>
        <w:numPr>
          <w:ilvl w:val="0"/>
          <w:numId w:val="8"/>
        </w:numPr>
        <w:tabs>
          <w:tab w:val="clear" w:pos="720"/>
          <w:tab w:val="left" w:pos="1080" w:leader="none"/>
        </w:tabs>
        <w:spacing w:lineRule="auto" w:line="216" w:before="101" w:after="0"/>
        <w:ind w:hanging="288" w:left="1080" w:right="504"/>
        <w:jc w:val="both"/>
        <w:rPr>
          <w:lang w:val="es-ES"/>
        </w:rPr>
      </w:pPr>
      <w:r>
        <w:rPr>
          <w:rFonts w:eastAsia="Arial Narrow" w:cs="Arial Narrow" w:ascii="Arial Narrow" w:hAnsi="Arial Narrow"/>
          <w:sz w:val="22"/>
          <w:szCs w:val="22"/>
          <w:lang w:val="es-ES"/>
        </w:rPr>
        <w:t>el encargado incumpla de manera sustancial o persistente las presentes Cláusulas o las obligaciones que le atribuye el Reglamento (UE) 2016/679;</w:t>
      </w:r>
    </w:p>
    <w:p>
      <w:pPr>
        <w:pStyle w:val="Normal1"/>
        <w:widowControl/>
        <w:numPr>
          <w:ilvl w:val="0"/>
          <w:numId w:val="8"/>
        </w:numPr>
        <w:tabs>
          <w:tab w:val="clear" w:pos="720"/>
          <w:tab w:val="left" w:pos="1080" w:leader="none"/>
        </w:tabs>
        <w:spacing w:lineRule="auto" w:line="206" w:before="105" w:after="0"/>
        <w:ind w:hanging="288" w:left="1080" w:right="504"/>
        <w:jc w:val="both"/>
        <w:rPr>
          <w:lang w:val="es-ES"/>
        </w:rPr>
      </w:pPr>
      <w:r>
        <w:rPr>
          <w:rFonts w:eastAsia="Arial Narrow" w:cs="Arial Narrow" w:ascii="Arial Narrow" w:hAnsi="Arial Narrow"/>
          <w:sz w:val="22"/>
          <w:szCs w:val="22"/>
          <w:lang w:val="es-ES"/>
        </w:rPr>
        <w:t>el encargado incumpla una resolución vinculante de un órgano jurisdiccional competente o de las autoridades de control competentes en relación con las obligaciones que les atribuye las presentes Cláusulas, el Reglamento (UE) 2016/679.</w:t>
      </w:r>
    </w:p>
    <w:p>
      <w:pPr>
        <w:pStyle w:val="Normal1"/>
        <w:widowControl/>
        <w:spacing w:lineRule="auto" w:line="204" w:before="278" w:after="0"/>
        <w:ind w:hanging="288" w:left="792" w:right="504"/>
        <w:jc w:val="both"/>
        <w:rPr>
          <w:lang w:val="es-ES"/>
        </w:rPr>
      </w:pPr>
      <w:r>
        <w:rPr>
          <w:rFonts w:eastAsia="Arial Narrow" w:cs="Arial Narrow" w:ascii="Arial Narrow" w:hAnsi="Arial Narrow"/>
          <w:sz w:val="22"/>
          <w:szCs w:val="22"/>
          <w:lang w:val="es-ES"/>
        </w:rPr>
        <w:t>c) El encargado estará facultado para resolver el contrato en lo que se refiera al tratamiento de datos personales en virtud de las presentes Cláusulas cuando, tras haber informado al responsable de que sus instrucciones infringen los requisitos jurídicos exigidos por la cláusula 7.1, letra b), el responsable insiste en que se sigan dichas instrucciones.</w:t>
      </w:r>
    </w:p>
    <w:p>
      <w:pPr>
        <w:pStyle w:val="Normal1"/>
        <w:widowControl/>
        <w:spacing w:lineRule="auto" w:line="204" w:before="278" w:after="0"/>
        <w:ind w:hanging="288" w:left="792" w:right="504"/>
        <w:jc w:val="both"/>
        <w:rPr>
          <w:lang w:val="es-ES"/>
        </w:rPr>
      </w:pPr>
      <w:r>
        <w:rPr>
          <w:rFonts w:eastAsia="Arial Narrow" w:cs="Arial Narrow" w:ascii="Arial Narrow" w:hAnsi="Arial Narrow"/>
          <w:sz w:val="22"/>
          <w:szCs w:val="22"/>
          <w:lang w:val="es-ES"/>
        </w:rPr>
        <w:t xml:space="preserve">d) Tras la resolución del contrato, el encargado suprimirá, a petición del responsable, todos los datos personales tratados por cuenta del responsable y acreditará al responsable que lo ha hecho, o devolverá todos los datos personales al responsable y suprimirá las copias existentes, a menos que el Derecho de la Unión o de los Estados miembros exija el almacenamiento de los datos personales. </w:t>
      </w:r>
    </w:p>
    <w:p>
      <w:pPr>
        <w:pStyle w:val="Normal1"/>
        <w:widowControl/>
        <w:spacing w:lineRule="auto" w:line="204" w:before="278" w:after="0"/>
        <w:ind w:hanging="12" w:left="792" w:right="504"/>
        <w:jc w:val="both"/>
        <w:rPr>
          <w:lang w:val="es-ES"/>
        </w:rPr>
      </w:pPr>
      <w:r>
        <w:rPr>
          <w:rFonts w:eastAsia="Arial Narrow" w:cs="Arial Narrow" w:ascii="Arial Narrow" w:hAnsi="Arial Narrow"/>
          <w:sz w:val="22"/>
          <w:szCs w:val="22"/>
          <w:lang w:val="es-ES"/>
        </w:rPr>
        <w:t>Hasta que se destruyan o devuelvan los datos, el encargado seguirá garantizando el cumplimiento con las presentes Cláusulas.</w:t>
      </w:r>
    </w:p>
    <w:p>
      <w:pPr>
        <w:pStyle w:val="Normal1"/>
        <w:widowControl/>
        <w:spacing w:lineRule="auto" w:line="192" w:before="400" w:after="0"/>
        <w:jc w:val="center"/>
        <w:rPr>
          <w:lang w:val="es-ES"/>
        </w:rPr>
      </w:pPr>
      <w:r>
        <w:rPr>
          <w:rFonts w:eastAsia="Arial Narrow" w:cs="Arial Narrow" w:ascii="Arial Narrow" w:hAnsi="Arial Narrow"/>
          <w:sz w:val="22"/>
          <w:szCs w:val="22"/>
          <w:lang w:val="es-ES"/>
        </w:rPr>
        <w:t>SECCIÓN IV</w:t>
      </w:r>
    </w:p>
    <w:p>
      <w:pPr>
        <w:pStyle w:val="Normal1"/>
        <w:jc w:val="center"/>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jc w:val="center"/>
        <w:rPr>
          <w:lang w:val="es-ES"/>
        </w:rPr>
      </w:pPr>
      <w:r>
        <w:rPr>
          <w:rFonts w:eastAsia="Arial Narrow" w:cs="Arial Narrow" w:ascii="Arial Narrow" w:hAnsi="Arial Narrow"/>
          <w:b/>
          <w:sz w:val="22"/>
          <w:szCs w:val="22"/>
          <w:lang w:val="es-ES"/>
        </w:rPr>
        <w:t>OTRAS DISPOSICIONES</w:t>
      </w:r>
    </w:p>
    <w:p>
      <w:pPr>
        <w:pStyle w:val="Normal1"/>
        <w:widowControl/>
        <w:spacing w:lineRule="auto" w:line="216" w:before="569" w:after="0"/>
        <w:jc w:val="center"/>
        <w:rPr>
          <w:lang w:val="es-ES"/>
        </w:rPr>
      </w:pPr>
      <w:r>
        <w:rPr>
          <w:rFonts w:eastAsia="Arial Narrow" w:cs="Arial Narrow" w:ascii="Arial Narrow" w:hAnsi="Arial Narrow"/>
          <w:sz w:val="22"/>
          <w:szCs w:val="22"/>
          <w:lang w:val="es-ES"/>
        </w:rPr>
        <w:t>Cláusula 11</w:t>
      </w:r>
    </w:p>
    <w:p>
      <w:pPr>
        <w:pStyle w:val="Normal1"/>
        <w:widowControl/>
        <w:spacing w:lineRule="auto" w:line="235" w:before="273" w:after="0"/>
        <w:jc w:val="center"/>
        <w:rPr>
          <w:lang w:val="es-ES"/>
        </w:rPr>
      </w:pPr>
      <w:r>
        <w:rPr>
          <w:rFonts w:eastAsia="Arial Narrow" w:cs="Arial Narrow" w:ascii="Arial Narrow" w:hAnsi="Arial Narrow"/>
          <w:b/>
          <w:i/>
          <w:sz w:val="22"/>
          <w:szCs w:val="22"/>
          <w:lang w:val="es-ES"/>
        </w:rPr>
        <w:t xml:space="preserve">Cooperación </w:t>
      </w:r>
    </w:p>
    <w:p>
      <w:pPr>
        <w:pStyle w:val="Normal1"/>
        <w:spacing w:lineRule="auto" w:line="228"/>
        <w:ind w:hanging="0" w:left="185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ind w:hanging="0" w:left="779" w:right="450"/>
        <w:jc w:val="both"/>
        <w:rPr>
          <w:lang w:val="es-ES"/>
        </w:rPr>
      </w:pPr>
      <w:r>
        <w:rPr>
          <w:rFonts w:eastAsia="Arial Narrow" w:cs="Arial Narrow" w:ascii="Arial Narrow" w:hAnsi="Arial Narrow"/>
          <w:sz w:val="22"/>
          <w:szCs w:val="22"/>
          <w:lang w:val="es-ES"/>
        </w:rPr>
        <w:t>El encargado del tratamiento informará lo antes posible al responsable del tratamiento de cualquier solicitud (incluida cualquier investigación o búsqueda) de una autoridad competente que haya recibido directamente y que esté relacionada con el tratamiento de datos personales aplicado en virtud de las presentes cláusulas.</w:t>
      </w:r>
    </w:p>
    <w:p>
      <w:pPr>
        <w:pStyle w:val="Normal1"/>
        <w:spacing w:lineRule="auto" w:line="228" w:before="115" w:after="0"/>
        <w:ind w:hanging="0" w:left="779" w:right="450"/>
        <w:jc w:val="both"/>
        <w:rPr>
          <w:lang w:val="es-ES"/>
        </w:rPr>
      </w:pPr>
      <w:r>
        <w:rPr>
          <w:rFonts w:eastAsia="Arial Narrow" w:cs="Arial Narrow" w:ascii="Arial Narrow" w:hAnsi="Arial Narrow"/>
          <w:sz w:val="22"/>
          <w:szCs w:val="22"/>
          <w:lang w:val="es-ES"/>
        </w:rPr>
        <w:t>En caso de que el responsable del tratamiento sea objeto de una investigación por parte de una autoridad de protección de datos o de cualquier otra autoridad competente, de un procedimiento derivado de una infracción penal o administrativa, de una reclamación de responsabilidad por parte de un interesado o de un tercero afectado, o de cualquier otra reclamación o acción legal relacionada con el tratamiento de datos personales aplicado en virtud de las cláusulas tipo, el encargado del tratamiento se compromete a adoptar todas las medidas razonables para ayudar al responsable del tratamiento sin coste adicional.</w:t>
      </w:r>
    </w:p>
    <w:p>
      <w:pPr>
        <w:pStyle w:val="Normal1"/>
        <w:widowControl/>
        <w:spacing w:lineRule="auto" w:line="216" w:before="569" w:after="0"/>
        <w:jc w:val="center"/>
        <w:rPr>
          <w:lang w:val="es-ES"/>
        </w:rPr>
      </w:pPr>
      <w:r>
        <w:rPr/>
      </w:r>
    </w:p>
    <w:p>
      <w:pPr>
        <w:pStyle w:val="Normal1"/>
        <w:widowControl/>
        <w:spacing w:lineRule="auto" w:line="216" w:before="569" w:after="0"/>
        <w:jc w:val="center"/>
        <w:rPr>
          <w:lang w:val="es-ES"/>
        </w:rPr>
      </w:pPr>
      <w:r>
        <w:rPr>
          <w:rFonts w:eastAsia="Arial Narrow" w:cs="Arial Narrow" w:ascii="Arial Narrow" w:hAnsi="Arial Narrow"/>
          <w:i/>
          <w:sz w:val="22"/>
          <w:szCs w:val="22"/>
          <w:lang w:val="es-ES"/>
        </w:rPr>
        <w:t>Cláusula 12</w:t>
      </w:r>
    </w:p>
    <w:p>
      <w:pPr>
        <w:pStyle w:val="Normal1"/>
        <w:spacing w:lineRule="auto" w:line="240" w:before="522" w:after="0"/>
        <w:jc w:val="center"/>
        <w:rPr>
          <w:lang w:val="es-ES"/>
        </w:rPr>
      </w:pPr>
      <w:r>
        <w:rPr>
          <w:rFonts w:eastAsia="Arial Narrow" w:cs="Arial Narrow" w:ascii="Arial Narrow" w:hAnsi="Arial Narrow"/>
          <w:b/>
          <w:i/>
          <w:sz w:val="22"/>
          <w:szCs w:val="22"/>
          <w:lang w:val="es-ES"/>
        </w:rPr>
        <w:t xml:space="preserve">Tratamiento de datos de contacto de las partes. </w:t>
      </w:r>
    </w:p>
    <w:p>
      <w:pPr>
        <w:pStyle w:val="Normal1"/>
        <w:spacing w:lineRule="auto" w:line="228" w:before="115" w:after="0"/>
        <w:ind w:hanging="0" w:left="708" w:right="450"/>
        <w:jc w:val="both"/>
        <w:rPr>
          <w:lang w:val="es-ES"/>
        </w:rPr>
      </w:pPr>
      <w:r>
        <w:rPr>
          <w:rFonts w:eastAsia="Arial Narrow" w:cs="Arial Narrow" w:ascii="Arial Narrow" w:hAnsi="Arial Narrow"/>
          <w:sz w:val="22"/>
          <w:szCs w:val="22"/>
          <w:lang w:val="es-ES"/>
        </w:rPr>
        <w:t>12.1 La persona de contacto dentro de cada parte para cualquier solicitud/pregunta/reclamación en relación con las presentes cláusulas serán las indicadas en el Apéndice I y será facilitada por el encargado del tratamiento a cualquier subencargado del tratamiento debidamente autorizado de conformidad con las cláusulas tipo.</w:t>
      </w:r>
    </w:p>
    <w:p>
      <w:pPr>
        <w:pStyle w:val="Normal1"/>
        <w:spacing w:lineRule="auto" w:line="228" w:before="115" w:after="0"/>
        <w:ind w:hanging="0" w:left="708" w:right="450"/>
        <w:jc w:val="both"/>
        <w:rPr>
          <w:lang w:val="es-ES"/>
        </w:rPr>
      </w:pPr>
      <w:r>
        <w:rPr>
          <w:rFonts w:eastAsia="Arial Narrow" w:cs="Arial Narrow" w:ascii="Arial Narrow" w:hAnsi="Arial Narrow"/>
          <w:sz w:val="22"/>
          <w:szCs w:val="22"/>
          <w:lang w:val="es-ES"/>
        </w:rPr>
        <w:t>12.2 Cuando una de las Partes y/o sus entidades afiliadas traten los datos personales de los empleados y representantes de la otra Parte y/o entidad afiliada, incluidos sus nombres y datos de contacto comerciales (en adelante, los "Datos de Contacto"), con el fin de gestionar sus actividades comerciales (en particular, la gestión del archivo de proveedores, clientes o clientes potenciales, la gestión de contratos), esta Parte actuará en calidad de responsable del tratamiento y deberá cumplir las obligaciones que le incumben en virtud de la normativa aplicable en materia de protección de datos.</w:t>
      </w:r>
    </w:p>
    <w:p>
      <w:pPr>
        <w:pStyle w:val="Normal1"/>
        <w:spacing w:lineRule="auto" w:line="228" w:before="115" w:after="0"/>
        <w:ind w:hanging="0" w:left="708" w:right="450"/>
        <w:jc w:val="both"/>
        <w:rPr>
          <w:lang w:val="es-ES"/>
        </w:rPr>
      </w:pPr>
      <w:r>
        <w:rPr>
          <w:rFonts w:eastAsia="Arial Narrow" w:cs="Arial Narrow" w:ascii="Arial Narrow" w:hAnsi="Arial Narrow"/>
          <w:sz w:val="22"/>
          <w:szCs w:val="22"/>
          <w:lang w:val="es-ES"/>
        </w:rPr>
        <w:t xml:space="preserve">El responsable del tratamiento conservará los Datos de Contacto del encargado del tratamiento durante el tiempo que sea necesario para cumplir los fines para los que vayan a ser utilizados, con sujeción a las disposiciones legales en materia de archivo y plazos de conservación, en su caso. Por defecto, los Datos de Contacto se conservarán durante un periodo de diez (10) años tras la finalización de la ejecución del Contrato con el fin de permitir al responsable del tratamiento demostrar el cumplimiento de sus obligaciones legales y/o contractuales, en su caso, y garantizar el seguimiento de la relación comercial con el proveedor. </w:t>
      </w:r>
    </w:p>
    <w:p>
      <w:pPr>
        <w:pStyle w:val="Normal1"/>
        <w:spacing w:lineRule="auto" w:line="228" w:before="115" w:after="0"/>
        <w:ind w:hanging="0" w:left="708" w:right="450"/>
        <w:jc w:val="both"/>
        <w:rPr>
          <w:lang w:val="es-ES"/>
        </w:rPr>
      </w:pPr>
      <w:r>
        <w:rPr>
          <w:rFonts w:eastAsia="Arial Narrow" w:cs="Arial Narrow" w:ascii="Arial Narrow" w:hAnsi="Arial Narrow"/>
          <w:sz w:val="22"/>
          <w:szCs w:val="22"/>
          <w:lang w:val="es-ES"/>
        </w:rPr>
        <w:t xml:space="preserve">El responsable del tratamiento y/o cada entidad afiliada también pueden verse obligados a proporcionar acceso a los Datos de Contacto a sus entidades afiliadas y socios que lo necesiten en el contexto de los servicios y/o con el fin de supervisar la relación comercial. </w:t>
      </w:r>
    </w:p>
    <w:p>
      <w:pPr>
        <w:pStyle w:val="Normal1"/>
        <w:spacing w:lineRule="auto" w:line="228" w:before="115" w:after="0"/>
        <w:ind w:hanging="0" w:left="708" w:right="450"/>
        <w:jc w:val="both"/>
        <w:rPr>
          <w:lang w:val="es-ES"/>
        </w:rPr>
      </w:pPr>
      <w:r>
        <w:rPr>
          <w:rFonts w:eastAsia="Arial Narrow" w:cs="Arial Narrow" w:ascii="Arial Narrow" w:hAnsi="Arial Narrow"/>
          <w:sz w:val="22"/>
          <w:szCs w:val="22"/>
          <w:lang w:val="es-ES"/>
        </w:rPr>
        <w:t xml:space="preserve">Dicho tratamiento se basará en el interés legítimo de las Partes y/o de la entidad afiliada. </w:t>
      </w:r>
    </w:p>
    <w:p>
      <w:pPr>
        <w:pStyle w:val="Normal1"/>
        <w:spacing w:lineRule="auto" w:line="228" w:before="115" w:after="0"/>
        <w:ind w:hanging="0" w:left="708" w:right="450"/>
        <w:jc w:val="both"/>
        <w:rPr>
          <w:lang w:val="es-ES"/>
        </w:rPr>
      </w:pPr>
      <w:r>
        <w:rPr>
          <w:rFonts w:eastAsia="Arial Narrow" w:cs="Arial Narrow" w:ascii="Arial Narrow" w:hAnsi="Arial Narrow"/>
          <w:sz w:val="22"/>
          <w:szCs w:val="22"/>
          <w:lang w:val="es-ES"/>
        </w:rPr>
        <w:t>El proveedor informará a sus empleados y representantes, del tratamiento de sus Datos de Contacto en las condiciones descritas en la presente cláusula, incluido el modo de ejercer sus derechos ante el responsable del tratamiento. Los empleados y representantes de cada una de las Partes tienen derecho a acceder, rectificar o suprimir dichos Datos de Contacto, derecho a limitar el tratamiento de dichos Datos de Contacto, derecho a oponerse al tratamiento de dichos Datos de Contacto. Pueden hacer valer estos derechos directamente por correo electrónico al DPO del responsable del tratamiento.</w:t>
      </w:r>
    </w:p>
    <w:p>
      <w:pPr>
        <w:pStyle w:val="Normal1"/>
        <w:widowControl/>
        <w:spacing w:lineRule="auto" w:line="204" w:before="278" w:after="0"/>
        <w:ind w:hanging="288" w:left="792"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spacing w:lineRule="auto" w:line="204" w:before="278" w:after="0"/>
        <w:ind w:hanging="288" w:left="792"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spacing w:lineRule="auto" w:line="204" w:before="278" w:after="0"/>
        <w:ind w:hanging="288" w:left="792"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spacing w:lineRule="auto" w:line="204" w:before="278" w:after="0"/>
        <w:ind w:hanging="288" w:left="792"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spacing w:lineRule="auto" w:line="204" w:before="278" w:after="0"/>
        <w:ind w:hanging="288" w:left="792"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tabs>
          <w:tab w:val="clear" w:pos="720"/>
          <w:tab w:val="left" w:pos="1080" w:leader="none"/>
        </w:tabs>
        <w:spacing w:lineRule="auto" w:line="206" w:before="111" w:after="0"/>
        <w:ind w:right="504"/>
        <w:jc w:val="both"/>
        <w:rPr>
          <w:lang w:val="es-ES"/>
        </w:rPr>
      </w:pPr>
      <w:r>
        <mc:AlternateContent>
          <mc:Choice Requires="wps">
            <w:drawing>
              <wp:anchor behindDoc="0" distT="5715" distB="5080" distL="5080" distR="5715" simplePos="0" locked="0" layoutInCell="0" allowOverlap="1" relativeHeight="14">
                <wp:simplePos x="0" y="0"/>
                <wp:positionH relativeFrom="page">
                  <wp:posOffset>-30480</wp:posOffset>
                </wp:positionH>
                <wp:positionV relativeFrom="page">
                  <wp:posOffset>-23495</wp:posOffset>
                </wp:positionV>
                <wp:extent cx="60325" cy="60325"/>
                <wp:effectExtent l="5080" t="5715" r="5715" b="5080"/>
                <wp:wrapNone/>
                <wp:docPr id="5" name="Forma5"/>
                <a:graphic xmlns:a="http://schemas.openxmlformats.org/drawingml/2006/main">
                  <a:graphicData uri="http://schemas.microsoft.com/office/word/2010/wordprocessingShape">
                    <wps:wsp>
                      <wps:cNvSpPr/>
                      <wps:spPr>
                        <a:xfrm>
                          <a:off x="0" y="0"/>
                          <a:ext cx="60480" cy="60480"/>
                        </a:xfrm>
                        <a:prstGeom prst="straightConnector1">
                          <a:avLst/>
                        </a:prstGeom>
                        <a:solidFill>
                          <a:srgbClr val="ffffff"/>
                        </a:solidFill>
                        <a:ln w="9525">
                          <a:solidFill>
                            <a:srgbClr val="000000"/>
                          </a:solidFill>
                          <a:round/>
                        </a:ln>
                      </wps:spPr>
                      <wps:style>
                        <a:lnRef idx="0"/>
                        <a:fillRef idx="0"/>
                        <a:effectRef idx="0"/>
                        <a:fontRef idx="minor"/>
                      </wps:style>
                      <wps:bodyPr/>
                    </wps:wsp>
                  </a:graphicData>
                </a:graphic>
              </wp:anchor>
            </w:drawing>
          </mc:Choice>
          <mc:Fallback>
            <w:pict>
              <v:shape id="shape_0" ID="Forma5" path="m0,0l-2147483648,-2147483647e" fillcolor="white" stroked="t" o:allowincell="f" style="position:absolute;margin-left:-2.4pt;margin-top:-1.85pt;width:4.7pt;height:4.7pt;mso-wrap-style:none;v-text-anchor:middle;mso-position-horizontal-relative:page;mso-position-vertical-relative:page" type="_x0000_t32">
                <v:fill o:detectmouseclick="t" type="solid" color2="black"/>
                <v:stroke color="black" weight="9360" joinstyle="round" endcap="flat"/>
                <w10:wrap type="none"/>
              </v:shape>
            </w:pict>
          </mc:Fallback>
        </mc:AlternateContent>
      </w:r>
      <w:r>
        <w:rPr>
          <w:rFonts w:eastAsia="Arial Narrow" w:cs="Arial Narrow" w:ascii="Arial Narrow" w:hAnsi="Arial Narrow"/>
          <w:sz w:val="22"/>
          <w:szCs w:val="22"/>
          <w:lang w:val="es-ES"/>
        </w:rPr>
        <w:tab/>
        <w:tab/>
        <w:t xml:space="preserve">Responsable </w:t>
        <w:tab/>
        <w:tab/>
        <w:tab/>
        <w:tab/>
      </w:r>
    </w:p>
    <w:p>
      <w:pPr>
        <w:pStyle w:val="Normal1"/>
        <w:widowControl/>
        <w:tabs>
          <w:tab w:val="clear" w:pos="720"/>
          <w:tab w:val="left" w:pos="1080" w:leader="none"/>
        </w:tabs>
        <w:spacing w:lineRule="auto" w:line="206" w:before="111" w:after="0"/>
        <w:ind w:right="504"/>
        <w:jc w:val="both"/>
        <w:rPr>
          <w:lang w:val="es-ES"/>
        </w:rPr>
      </w:pPr>
      <w:r>
        <w:rPr>
          <w:rFonts w:eastAsia="Arial Narrow" w:cs="Arial Narrow" w:ascii="Arial Narrow" w:hAnsi="Arial Narrow"/>
          <w:sz w:val="22"/>
          <w:szCs w:val="22"/>
          <w:lang w:val="es-ES"/>
        </w:rPr>
        <w:tab/>
        <w:tab/>
        <w:t xml:space="preserve">Fecha y firma </w:t>
      </w:r>
    </w:p>
    <w:p>
      <w:pPr>
        <w:pStyle w:val="Normal1"/>
        <w:widowControl/>
        <w:tabs>
          <w:tab w:val="clear" w:pos="720"/>
          <w:tab w:val="left" w:pos="1080" w:leader="none"/>
        </w:tabs>
        <w:spacing w:lineRule="auto" w:line="206" w:before="111" w:after="0"/>
        <w:ind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tabs>
          <w:tab w:val="clear" w:pos="720"/>
          <w:tab w:val="left" w:pos="1080" w:leader="none"/>
        </w:tabs>
        <w:spacing w:lineRule="auto" w:line="206" w:before="111" w:after="0"/>
        <w:ind w:right="504"/>
        <w:jc w:val="both"/>
        <w:rPr>
          <w:lang w:val="es-ES"/>
        </w:rPr>
      </w:pPr>
      <w:r>
        <w:rPr>
          <w:rFonts w:eastAsia="Arial Narrow" w:cs="Arial Narrow" w:ascii="Arial Narrow" w:hAnsi="Arial Narrow"/>
          <w:sz w:val="22"/>
          <w:szCs w:val="22"/>
          <w:lang w:val="es-ES"/>
        </w:rPr>
        <w:tab/>
        <w:tab/>
      </w:r>
    </w:p>
    <w:p>
      <w:pPr>
        <w:pStyle w:val="Normal1"/>
        <w:widowControl/>
        <w:tabs>
          <w:tab w:val="clear" w:pos="720"/>
          <w:tab w:val="left" w:pos="1080" w:leader="none"/>
        </w:tabs>
        <w:spacing w:lineRule="auto" w:line="206" w:before="111" w:after="0"/>
        <w:ind w:right="50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tabs>
          <w:tab w:val="clear" w:pos="720"/>
          <w:tab w:val="left" w:pos="1080" w:leader="none"/>
        </w:tabs>
        <w:spacing w:lineRule="auto" w:line="206" w:before="111" w:after="0"/>
        <w:ind w:right="504"/>
        <w:jc w:val="both"/>
        <w:rPr>
          <w:lang w:val="es-ES"/>
        </w:rPr>
      </w:pPr>
      <w:r>
        <w:rPr>
          <w:rFonts w:eastAsia="Arial Narrow" w:cs="Arial Narrow" w:ascii="Arial Narrow" w:hAnsi="Arial Narrow"/>
          <w:sz w:val="22"/>
          <w:szCs w:val="22"/>
          <w:lang w:val="es-ES"/>
        </w:rPr>
        <w:tab/>
        <w:tab/>
        <w:t xml:space="preserve">Encargado </w:t>
        <w:tab/>
        <w:tab/>
        <w:tab/>
      </w:r>
    </w:p>
    <w:p>
      <w:pPr>
        <w:pStyle w:val="Normal1"/>
        <w:widowControl/>
        <w:tabs>
          <w:tab w:val="clear" w:pos="720"/>
          <w:tab w:val="left" w:pos="1080" w:leader="none"/>
        </w:tabs>
        <w:spacing w:lineRule="auto" w:line="206" w:before="111" w:after="0"/>
        <w:ind w:right="504"/>
        <w:jc w:val="both"/>
        <w:rPr>
          <w:lang w:val="es-ES"/>
        </w:rPr>
      </w:pPr>
      <w:r>
        <w:rPr>
          <w:rFonts w:eastAsia="Arial Narrow" w:cs="Arial Narrow" w:ascii="Arial Narrow" w:hAnsi="Arial Narrow"/>
          <w:sz w:val="22"/>
          <w:szCs w:val="22"/>
          <w:lang w:val="es-ES"/>
        </w:rPr>
        <w:tab/>
        <w:tab/>
        <w:t xml:space="preserve">Fecha y firma </w:t>
      </w:r>
    </w:p>
    <w:p>
      <w:pPr>
        <w:pStyle w:val="Normal1"/>
        <w:widowControl/>
        <w:tabs>
          <w:tab w:val="clear" w:pos="720"/>
          <w:tab w:val="left" w:pos="1080" w:leader="none"/>
        </w:tabs>
        <w:spacing w:lineRule="auto" w:line="206" w:before="111" w:after="0"/>
        <w:ind w:right="504"/>
        <w:jc w:val="both"/>
        <w:rPr>
          <w:rFonts w:ascii="Calibri" w:hAnsi="Calibri" w:eastAsia="Calibri" w:cs="Calibri"/>
          <w:sz w:val="22"/>
          <w:szCs w:val="22"/>
          <w:lang w:val="es-ES"/>
        </w:rPr>
      </w:pPr>
      <w:r>
        <w:rPr>
          <w:rFonts w:eastAsia="Calibri" w:cs="Calibri" w:ascii="Calibri" w:hAnsi="Calibri"/>
          <w:sz w:val="22"/>
          <w:szCs w:val="22"/>
          <w:lang w:val="es-ES"/>
        </w:rPr>
      </w:r>
    </w:p>
    <w:p>
      <w:pPr>
        <w:pStyle w:val="Normal1"/>
        <w:widowControl/>
        <w:spacing w:lineRule="auto" w:line="259" w:before="0" w:after="160"/>
        <w:jc w:val="center"/>
        <w:rPr>
          <w:lang w:val="es-ES"/>
        </w:rPr>
      </w:pPr>
      <w:r>
        <w:rPr>
          <w:rFonts w:eastAsia="Arial Narrow" w:cs="Arial Narrow" w:ascii="Arial Narrow" w:hAnsi="Arial Narrow"/>
          <w:b/>
          <w:sz w:val="22"/>
          <w:szCs w:val="22"/>
          <w:u w:val="single"/>
          <w:lang w:val="es-ES"/>
        </w:rPr>
        <w:t>Apéndice II - Modelo para la solicitud de autorización específica de encargos</w:t>
      </w:r>
    </w:p>
    <w:p>
      <w:pPr>
        <w:pStyle w:val="Normal1"/>
        <w:widowControl/>
        <w:spacing w:lineRule="auto" w:line="216" w:before="111" w:after="0"/>
        <w:ind w:hanging="0" w:left="283" w:right="-607"/>
        <w:rPr>
          <w:lang w:val="es-ES"/>
        </w:rPr>
      </w:pPr>
      <w:r>
        <w:rPr>
          <w:rFonts w:eastAsia="Arial Narrow" w:cs="Arial Narrow" w:ascii="Arial Narrow" w:hAnsi="Arial Narrow"/>
          <w:sz w:val="22"/>
          <w:szCs w:val="22"/>
          <w:lang w:val="es-ES"/>
        </w:rPr>
        <w:t>Cuando sea necesaria la autorización específica de uno o más encargados/subencargados (distinto de los expresamente autorizados en la firma del contrato se completará el siguiente apartado:</w:t>
      </w:r>
    </w:p>
    <w:p>
      <w:pPr>
        <w:pStyle w:val="Normal1"/>
        <w:widowControl/>
        <w:spacing w:lineRule="auto" w:line="276"/>
        <w:jc w:val="both"/>
        <w:rPr>
          <w:lang w:val="es-ES"/>
        </w:rPr>
      </w:pPr>
      <w:r>
        <w:rPr>
          <w:rFonts w:eastAsia="Calibri" w:cs="Calibri" w:ascii="Calibri" w:hAnsi="Calibri"/>
          <w:sz w:val="22"/>
          <w:szCs w:val="22"/>
          <w:lang w:val="es-ES"/>
        </w:rPr>
        <w:tab/>
      </w:r>
    </w:p>
    <w:tbl>
      <w:tblPr>
        <w:tblStyle w:val="Table16"/>
        <w:tblW w:w="9435" w:type="dxa"/>
        <w:jc w:val="left"/>
        <w:tblInd w:w="245" w:type="dxa"/>
        <w:tblLayout w:type="fixed"/>
        <w:tblCellMar>
          <w:top w:w="0" w:type="dxa"/>
          <w:left w:w="108" w:type="dxa"/>
          <w:bottom w:w="0" w:type="dxa"/>
          <w:right w:w="108" w:type="dxa"/>
        </w:tblCellMar>
        <w:tblLook w:val="0400"/>
      </w:tblPr>
      <w:tblGrid>
        <w:gridCol w:w="1469"/>
        <w:gridCol w:w="1396"/>
        <w:gridCol w:w="1379"/>
        <w:gridCol w:w="1170"/>
        <w:gridCol w:w="1215"/>
        <w:gridCol w:w="1368"/>
        <w:gridCol w:w="1437"/>
      </w:tblGrid>
      <w:tr>
        <w:trPr>
          <w:trHeight w:val="1436" w:hRule="atLeast"/>
        </w:trPr>
        <w:tc>
          <w:tcPr>
            <w:tcW w:w="1469"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lang w:val="es-ES"/>
              </w:rPr>
            </w:pPr>
            <w:r>
              <w:rPr>
                <w:rFonts w:eastAsia="Calibri" w:cs="Calibri" w:ascii="Calibri" w:hAnsi="Calibri"/>
                <w:b/>
                <w:sz w:val="18"/>
                <w:szCs w:val="18"/>
                <w:lang w:val="es-ES"/>
              </w:rPr>
              <w:t>Identificación de los encargados</w:t>
            </w:r>
          </w:p>
        </w:tc>
        <w:tc>
          <w:tcPr>
            <w:tcW w:w="1396"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lang w:val="es-ES"/>
              </w:rPr>
            </w:pPr>
            <w:r>
              <w:rPr>
                <w:rFonts w:eastAsia="Calibri" w:cs="Calibri" w:ascii="Calibri" w:hAnsi="Calibri"/>
                <w:b/>
                <w:sz w:val="18"/>
                <w:szCs w:val="18"/>
                <w:lang w:val="es-ES"/>
              </w:rPr>
              <w:t>Finalidad del tratamiento</w:t>
            </w:r>
          </w:p>
        </w:tc>
        <w:tc>
          <w:tcPr>
            <w:tcW w:w="1379"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lang w:val="es-ES"/>
              </w:rPr>
            </w:pPr>
            <w:r>
              <w:rPr>
                <w:rFonts w:eastAsia="Calibri" w:cs="Calibri" w:ascii="Calibri" w:hAnsi="Calibri"/>
                <w:b/>
                <w:sz w:val="18"/>
                <w:szCs w:val="18"/>
                <w:lang w:val="es-ES"/>
              </w:rPr>
              <w:t>Descripción del tratamiento</w:t>
            </w:r>
          </w:p>
        </w:tc>
        <w:tc>
          <w:tcPr>
            <w:tcW w:w="1170"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lang w:val="es-ES"/>
              </w:rPr>
            </w:pPr>
            <w:r>
              <w:rPr>
                <w:rFonts w:eastAsia="Calibri" w:cs="Calibri" w:ascii="Calibri" w:hAnsi="Calibri"/>
                <w:b/>
                <w:sz w:val="18"/>
                <w:szCs w:val="18"/>
                <w:lang w:val="es-ES"/>
              </w:rPr>
              <w:t>Duración del tratamiento</w:t>
            </w:r>
          </w:p>
        </w:tc>
        <w:tc>
          <w:tcPr>
            <w:tcW w:w="1215"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lang w:val="es-ES"/>
              </w:rPr>
            </w:pPr>
            <w:r>
              <w:rPr>
                <w:rFonts w:eastAsia="Calibri" w:cs="Calibri" w:ascii="Calibri" w:hAnsi="Calibri"/>
                <w:b/>
                <w:sz w:val="18"/>
                <w:szCs w:val="18"/>
                <w:lang w:val="es-ES"/>
              </w:rPr>
              <w:t xml:space="preserve">Terceros países a los que se transfieren los datos personales </w:t>
            </w:r>
            <w:r>
              <w:rPr>
                <w:rStyle w:val="FootnoteReference"/>
                <w:rFonts w:eastAsia="Calibri" w:cs="Calibri" w:ascii="Calibri" w:hAnsi="Calibri"/>
                <w:b/>
                <w:sz w:val="18"/>
                <w:szCs w:val="18"/>
                <w:vertAlign w:val="superscript"/>
                <w:lang w:val="es-ES"/>
              </w:rPr>
              <w:footnoteReference w:id="2"/>
            </w:r>
          </w:p>
        </w:tc>
        <w:tc>
          <w:tcPr>
            <w:tcW w:w="1368"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lang w:val="es-ES"/>
              </w:rPr>
            </w:pPr>
            <w:r>
              <w:rPr>
                <w:rFonts w:eastAsia="Calibri" w:cs="Calibri" w:ascii="Calibri" w:hAnsi="Calibri"/>
                <w:b/>
                <w:sz w:val="18"/>
                <w:szCs w:val="18"/>
                <w:lang w:val="es-ES"/>
              </w:rPr>
              <w:t>Categoría y formato de los datos transferidos</w:t>
            </w:r>
          </w:p>
        </w:tc>
        <w:tc>
          <w:tcPr>
            <w:tcW w:w="1437"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lang w:val="es-ES"/>
              </w:rPr>
            </w:pPr>
            <w:r>
              <w:rPr>
                <w:rFonts w:eastAsia="Calibri" w:cs="Calibri" w:ascii="Calibri" w:hAnsi="Calibri"/>
                <w:b/>
                <w:sz w:val="18"/>
                <w:szCs w:val="18"/>
                <w:lang w:val="es-ES"/>
              </w:rPr>
              <w:t>Herramienta de transferencia</w:t>
            </w:r>
            <w:r>
              <w:rPr>
                <w:rStyle w:val="FootnoteReference"/>
                <w:rFonts w:eastAsia="Calibri" w:cs="Calibri" w:ascii="Calibri" w:hAnsi="Calibri"/>
                <w:b/>
                <w:sz w:val="18"/>
                <w:szCs w:val="18"/>
                <w:vertAlign w:val="superscript"/>
                <w:lang w:val="es-ES"/>
              </w:rPr>
              <w:footnoteReference w:id="3"/>
            </w:r>
          </w:p>
        </w:tc>
      </w:tr>
      <w:tr>
        <w:trPr>
          <w:trHeight w:val="300" w:hRule="atLeast"/>
        </w:trPr>
        <w:tc>
          <w:tcPr>
            <w:tcW w:w="9434" w:type="dxa"/>
            <w:gridSpan w:val="7"/>
            <w:tcBorders>
              <w:top w:val="single" w:sz="4" w:space="0" w:color="000000"/>
              <w:left w:val="single" w:sz="4" w:space="0" w:color="000000"/>
              <w:bottom w:val="single" w:sz="4" w:space="0" w:color="000000"/>
              <w:right w:val="single" w:sz="4" w:space="0" w:color="000000"/>
            </w:tcBorders>
            <w:shd w:fill="F3F3F3" w:val="clear"/>
          </w:tcPr>
          <w:p>
            <w:pPr>
              <w:pStyle w:val="Normal1"/>
              <w:widowControl/>
              <w:rPr>
                <w:lang w:val="es-ES"/>
              </w:rPr>
            </w:pPr>
            <w:r>
              <w:rPr>
                <w:rFonts w:eastAsia="Calibri" w:cs="Calibri" w:ascii="Calibri" w:hAnsi="Calibri"/>
                <w:sz w:val="18"/>
                <w:szCs w:val="18"/>
                <w:shd w:fill="F3F3F3" w:val="clear"/>
                <w:lang w:val="es-ES"/>
              </w:rPr>
              <w:t>1º</w:t>
            </w:r>
          </w:p>
        </w:tc>
      </w:tr>
      <w:tr>
        <w:trPr/>
        <w:tc>
          <w:tcPr>
            <w:tcW w:w="1469"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40" w:before="240" w:after="240"/>
              <w:rPr>
                <w:lang w:val="es-ES"/>
              </w:rPr>
            </w:pPr>
            <w:r>
              <w:rPr>
                <w:rFonts w:eastAsia="Calibri" w:cs="Calibri" w:ascii="Calibri" w:hAnsi="Calibri"/>
                <w:sz w:val="18"/>
                <w:szCs w:val="18"/>
                <w:lang w:val="es-ES"/>
              </w:rPr>
              <w:t>Razón social: [-]</w:t>
            </w:r>
          </w:p>
          <w:p>
            <w:pPr>
              <w:pStyle w:val="Normal1"/>
              <w:widowControl/>
              <w:spacing w:lineRule="auto" w:line="240" w:before="240" w:after="240"/>
              <w:rPr>
                <w:lang w:val="es-ES"/>
              </w:rPr>
            </w:pPr>
            <w:r>
              <w:rPr>
                <w:rFonts w:eastAsia="Calibri" w:cs="Calibri" w:ascii="Calibri" w:hAnsi="Calibri"/>
                <w:sz w:val="18"/>
                <w:szCs w:val="18"/>
                <w:lang w:val="es-ES"/>
              </w:rPr>
              <w:t>Dirección y país de la sede: [-]</w:t>
            </w:r>
          </w:p>
          <w:p>
            <w:pPr>
              <w:pStyle w:val="Normal1"/>
              <w:widowControl/>
              <w:spacing w:lineRule="auto" w:line="240" w:before="240" w:after="240"/>
              <w:rPr>
                <w:lang w:val="es-ES"/>
              </w:rPr>
            </w:pPr>
            <w:r>
              <w:rPr>
                <w:rFonts w:eastAsia="Calibri" w:cs="Calibri" w:ascii="Calibri" w:hAnsi="Calibri"/>
                <w:sz w:val="18"/>
                <w:szCs w:val="18"/>
                <w:lang w:val="es-ES"/>
              </w:rPr>
              <w:t>Sector económico: [-]</w:t>
            </w:r>
          </w:p>
          <w:p>
            <w:pPr>
              <w:pStyle w:val="Normal1"/>
              <w:widowControl/>
              <w:spacing w:lineRule="auto" w:line="240" w:before="240" w:after="240"/>
              <w:rPr>
                <w:lang w:val="es-ES"/>
              </w:rPr>
            </w:pPr>
            <w:r>
              <w:rPr>
                <w:rFonts w:eastAsia="Calibri" w:cs="Calibri" w:ascii="Calibri" w:hAnsi="Calibri"/>
                <w:sz w:val="18"/>
                <w:szCs w:val="18"/>
                <w:lang w:val="es-ES"/>
              </w:rPr>
              <w:t>N° de registro mercantil:  [-]</w:t>
            </w:r>
          </w:p>
          <w:p>
            <w:pPr>
              <w:pStyle w:val="Normal1"/>
              <w:widowControl/>
              <w:spacing w:lineRule="auto" w:line="240" w:before="240" w:after="240"/>
              <w:rPr>
                <w:lang w:val="es-ES"/>
              </w:rPr>
            </w:pPr>
            <w:r>
              <w:rPr>
                <w:rFonts w:eastAsia="Calibri" w:cs="Calibri" w:ascii="Calibri" w:hAnsi="Calibri"/>
                <w:sz w:val="18"/>
                <w:szCs w:val="18"/>
                <w:lang w:val="es-ES"/>
              </w:rPr>
              <w:t>Dirección de contacto genérica: [-]</w:t>
            </w:r>
          </w:p>
          <w:p>
            <w:pPr>
              <w:pStyle w:val="Normal1"/>
              <w:widowControl/>
              <w:spacing w:lineRule="auto" w:line="240" w:before="240" w:after="240"/>
              <w:rPr>
                <w:lang w:val="es-ES"/>
              </w:rPr>
            </w:pPr>
            <w:r>
              <w:rPr>
                <w:rFonts w:eastAsia="Calibri" w:cs="Calibri" w:ascii="Calibri" w:hAnsi="Calibri"/>
                <w:sz w:val="18"/>
                <w:szCs w:val="18"/>
                <w:lang w:val="es-ES"/>
              </w:rPr>
              <w:t>Datos de contacto del RPD o contacto para la protección de la intimidad: [-]</w:t>
            </w:r>
          </w:p>
          <w:p>
            <w:pPr>
              <w:pStyle w:val="Normal1"/>
              <w:widowControl/>
              <w:spacing w:lineRule="auto" w:line="240" w:before="240" w:after="240"/>
              <w:rPr>
                <w:lang w:val="es-ES"/>
              </w:rPr>
            </w:pPr>
            <w:r>
              <w:rPr>
                <w:rFonts w:eastAsia="Calibri" w:cs="Calibri" w:ascii="Calibri" w:hAnsi="Calibri"/>
                <w:sz w:val="18"/>
                <w:szCs w:val="18"/>
                <w:lang w:val="es-ES"/>
              </w:rPr>
              <w:t>Lista que debe cumplimentarse para cada subencargado de tratamiento</w:t>
            </w:r>
          </w:p>
        </w:tc>
        <w:tc>
          <w:tcPr>
            <w:tcW w:w="1396"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40" w:before="240" w:after="240"/>
              <w:rPr>
                <w:lang w:val="es-ES"/>
              </w:rPr>
            </w:pPr>
            <w:r>
              <w:rPr>
                <w:rFonts w:eastAsia="Calibri" w:cs="Calibri" w:ascii="Calibri" w:hAnsi="Calibri"/>
                <w:sz w:val="18"/>
                <w:szCs w:val="18"/>
                <w:lang w:val="es-ES"/>
              </w:rPr>
              <w:t>[Descripción de la finalidad del tratamiento efectuado por el subencargado del tratamiento y delimitación de responsabilidades entre subencargados del tratamiento].</w:t>
            </w:r>
          </w:p>
        </w:tc>
        <w:tc>
          <w:tcPr>
            <w:tcW w:w="1379"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40" w:before="240" w:after="240"/>
              <w:rPr>
                <w:rFonts w:ascii="Calibri" w:hAnsi="Calibri" w:eastAsia="Calibri" w:cs="Calibri"/>
                <w:sz w:val="18"/>
                <w:szCs w:val="18"/>
                <w:lang w:val="es-ES"/>
              </w:rPr>
            </w:pPr>
            <w:r>
              <w:rPr>
                <w:rFonts w:eastAsia="Calibri" w:cs="Calibri" w:ascii="Calibri" w:hAnsi="Calibri"/>
                <w:sz w:val="18"/>
                <w:szCs w:val="18"/>
                <w:lang w:val="es-ES"/>
              </w:rPr>
            </w:r>
          </w:p>
        </w:tc>
        <w:tc>
          <w:tcPr>
            <w:tcW w:w="1170"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40" w:before="240" w:after="240"/>
              <w:rPr>
                <w:rFonts w:ascii="Calibri" w:hAnsi="Calibri" w:eastAsia="Calibri" w:cs="Calibri"/>
                <w:sz w:val="18"/>
                <w:szCs w:val="18"/>
                <w:lang w:val="es-ES"/>
              </w:rPr>
            </w:pPr>
            <w:r>
              <w:rPr>
                <w:rFonts w:eastAsia="Calibri" w:cs="Calibri" w:ascii="Calibri" w:hAnsi="Calibri"/>
                <w:sz w:val="18"/>
                <w:szCs w:val="18"/>
                <w:lang w:val="es-ES"/>
              </w:rPr>
            </w:r>
          </w:p>
        </w:tc>
        <w:tc>
          <w:tcPr>
            <w:tcW w:w="1215"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40" w:before="240" w:after="240"/>
              <w:rPr>
                <w:lang w:val="es-ES"/>
              </w:rPr>
            </w:pPr>
            <w:r>
              <w:rPr>
                <w:rFonts w:eastAsia="Calibri" w:cs="Calibri" w:ascii="Calibri" w:hAnsi="Calibri"/>
                <w:sz w:val="18"/>
                <w:szCs w:val="18"/>
                <w:lang w:val="es-ES"/>
              </w:rPr>
              <w:t>[ninguno]</w:t>
            </w:r>
          </w:p>
          <w:p>
            <w:pPr>
              <w:pStyle w:val="Normal1"/>
              <w:widowControl/>
              <w:spacing w:lineRule="auto" w:line="240" w:before="240" w:after="240"/>
              <w:rPr>
                <w:rFonts w:ascii="Calibri" w:hAnsi="Calibri" w:eastAsia="Calibri" w:cs="Calibri"/>
                <w:sz w:val="18"/>
                <w:szCs w:val="18"/>
                <w:lang w:val="es-ES"/>
              </w:rPr>
            </w:pPr>
            <w:r>
              <w:rPr>
                <w:rFonts w:eastAsia="Calibri" w:cs="Calibri" w:ascii="Calibri" w:hAnsi="Calibri"/>
                <w:sz w:val="18"/>
                <w:szCs w:val="18"/>
                <w:lang w:val="es-ES"/>
              </w:rPr>
            </w:r>
          </w:p>
          <w:p>
            <w:pPr>
              <w:pStyle w:val="Normal1"/>
              <w:widowControl/>
              <w:spacing w:lineRule="auto" w:line="240" w:before="240" w:after="240"/>
              <w:rPr>
                <w:lang w:val="es-ES"/>
              </w:rPr>
            </w:pPr>
            <w:r>
              <w:rPr>
                <w:rFonts w:eastAsia="Calibri" w:cs="Calibri" w:ascii="Calibri" w:hAnsi="Calibri"/>
                <w:sz w:val="18"/>
                <w:szCs w:val="18"/>
                <w:lang w:val="es-ES"/>
              </w:rPr>
              <w:t>o</w:t>
            </w:r>
          </w:p>
          <w:p>
            <w:pPr>
              <w:pStyle w:val="Normal1"/>
              <w:widowControl/>
              <w:spacing w:lineRule="auto" w:line="240" w:before="240" w:after="240"/>
              <w:rPr>
                <w:rFonts w:ascii="Calibri" w:hAnsi="Calibri" w:eastAsia="Calibri" w:cs="Calibri"/>
                <w:sz w:val="18"/>
                <w:szCs w:val="18"/>
                <w:lang w:val="es-ES"/>
              </w:rPr>
            </w:pPr>
            <w:r>
              <w:rPr>
                <w:rFonts w:eastAsia="Calibri" w:cs="Calibri" w:ascii="Calibri" w:hAnsi="Calibri"/>
                <w:sz w:val="18"/>
                <w:szCs w:val="18"/>
                <w:lang w:val="es-ES"/>
              </w:rPr>
            </w:r>
          </w:p>
          <w:p>
            <w:pPr>
              <w:pStyle w:val="Normal1"/>
              <w:widowControl/>
              <w:spacing w:lineRule="auto" w:line="240" w:before="240" w:after="240"/>
              <w:rPr>
                <w:lang w:val="es-ES"/>
              </w:rPr>
            </w:pPr>
            <w:r>
              <w:rPr>
                <w:rFonts w:eastAsia="Calibri" w:cs="Calibri" w:ascii="Calibri" w:hAnsi="Calibri"/>
                <w:sz w:val="18"/>
                <w:szCs w:val="18"/>
                <w:lang w:val="es-ES"/>
              </w:rPr>
              <w:t>Lista de terceros países [-]</w:t>
            </w:r>
          </w:p>
        </w:tc>
        <w:tc>
          <w:tcPr>
            <w:tcW w:w="1368"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40" w:before="240" w:after="240"/>
              <w:rPr>
                <w:lang w:val="es-ES"/>
              </w:rPr>
            </w:pPr>
            <w:r>
              <w:rPr>
                <w:rFonts w:eastAsia="Calibri" w:cs="Calibri" w:ascii="Calibri" w:hAnsi="Calibri"/>
                <w:sz w:val="18"/>
                <w:szCs w:val="18"/>
                <w:lang w:val="es-ES"/>
              </w:rPr>
              <w:t>Tratamiento de datos personales : [sí o no]</w:t>
            </w:r>
          </w:p>
          <w:p>
            <w:pPr>
              <w:pStyle w:val="Normal1"/>
              <w:widowControl/>
              <w:spacing w:lineRule="auto" w:line="240" w:before="240" w:after="240"/>
              <w:rPr>
                <w:lang w:val="es-ES"/>
              </w:rPr>
            </w:pPr>
            <w:r>
              <w:rPr>
                <w:rFonts w:eastAsia="Calibri" w:cs="Calibri" w:ascii="Calibri" w:hAnsi="Calibri"/>
                <w:sz w:val="18"/>
                <w:szCs w:val="18"/>
                <w:lang w:val="es-ES"/>
              </w:rPr>
              <w:t>Categorías de datos personales: [-]</w:t>
            </w:r>
          </w:p>
          <w:p>
            <w:pPr>
              <w:pStyle w:val="Normal1"/>
              <w:widowControl/>
              <w:spacing w:lineRule="auto" w:line="240" w:before="240" w:after="240"/>
              <w:rPr>
                <w:lang w:val="es-ES"/>
              </w:rPr>
            </w:pPr>
            <w:r>
              <w:rPr>
                <w:rFonts w:eastAsia="Calibri" w:cs="Calibri" w:ascii="Calibri" w:hAnsi="Calibri"/>
                <w:sz w:val="18"/>
                <w:szCs w:val="18"/>
                <w:lang w:val="es-ES"/>
              </w:rPr>
              <w:t>Formato de los datos personales: [-]</w:t>
            </w:r>
          </w:p>
        </w:tc>
        <w:tc>
          <w:tcPr>
            <w:tcW w:w="1437" w:type="dxa"/>
            <w:tcBorders>
              <w:top w:val="single" w:sz="4" w:space="0" w:color="000000"/>
              <w:left w:val="single" w:sz="4" w:space="0" w:color="000000"/>
              <w:bottom w:val="single" w:sz="4" w:space="0" w:color="000000"/>
              <w:right w:val="single" w:sz="4" w:space="0" w:color="000000"/>
            </w:tcBorders>
          </w:tcPr>
          <w:p>
            <w:pPr>
              <w:pStyle w:val="Normal1"/>
              <w:widowControl/>
              <w:rPr>
                <w:rFonts w:ascii="Calibri" w:hAnsi="Calibri" w:eastAsia="Calibri" w:cs="Calibri"/>
                <w:sz w:val="18"/>
                <w:szCs w:val="18"/>
                <w:lang w:val="es-ES"/>
              </w:rPr>
            </w:pPr>
            <w:r>
              <w:rPr>
                <w:rFonts w:eastAsia="Calibri" w:cs="Calibri" w:ascii="Calibri" w:hAnsi="Calibri"/>
                <w:sz w:val="18"/>
                <w:szCs w:val="18"/>
                <w:lang w:val="es-ES"/>
              </w:rPr>
            </w:r>
          </w:p>
          <w:p>
            <w:pPr>
              <w:pStyle w:val="Normal1"/>
              <w:widowControl/>
              <w:rPr>
                <w:lang w:val="es-ES"/>
              </w:rPr>
            </w:pPr>
            <w:r>
              <w:rPr>
                <w:rFonts w:eastAsia="Calibri" w:cs="Calibri" w:ascii="Calibri" w:hAnsi="Calibri"/>
                <w:sz w:val="18"/>
                <w:szCs w:val="18"/>
                <w:lang w:val="es-ES"/>
              </w:rPr>
              <w:t>[Decisión de adecuación]</w:t>
            </w:r>
          </w:p>
          <w:p>
            <w:pPr>
              <w:pStyle w:val="Normal1"/>
              <w:widowControl/>
              <w:rPr>
                <w:rFonts w:ascii="Calibri" w:hAnsi="Calibri" w:eastAsia="Calibri" w:cs="Calibri"/>
                <w:sz w:val="18"/>
                <w:szCs w:val="18"/>
                <w:lang w:val="es-ES"/>
              </w:rPr>
            </w:pPr>
            <w:r>
              <w:rPr>
                <w:rFonts w:eastAsia="Calibri" w:cs="Calibri" w:ascii="Calibri" w:hAnsi="Calibri"/>
                <w:sz w:val="18"/>
                <w:szCs w:val="18"/>
                <w:lang w:val="es-ES"/>
              </w:rPr>
            </w:r>
          </w:p>
          <w:p>
            <w:pPr>
              <w:pStyle w:val="Normal1"/>
              <w:widowControl/>
              <w:rPr>
                <w:lang w:val="es-ES"/>
              </w:rPr>
            </w:pPr>
            <w:r>
              <w:rPr>
                <w:rFonts w:eastAsia="Calibri" w:cs="Calibri" w:ascii="Calibri" w:hAnsi="Calibri"/>
                <w:sz w:val="18"/>
                <w:szCs w:val="18"/>
                <w:lang w:val="es-ES"/>
              </w:rPr>
              <w:t>ou</w:t>
            </w:r>
          </w:p>
          <w:p>
            <w:pPr>
              <w:pStyle w:val="Normal1"/>
              <w:widowControl/>
              <w:rPr>
                <w:rFonts w:ascii="Calibri" w:hAnsi="Calibri" w:eastAsia="Calibri" w:cs="Calibri"/>
                <w:sz w:val="18"/>
                <w:szCs w:val="18"/>
                <w:lang w:val="es-ES"/>
              </w:rPr>
            </w:pPr>
            <w:r>
              <w:rPr>
                <w:rFonts w:eastAsia="Calibri" w:cs="Calibri" w:ascii="Calibri" w:hAnsi="Calibri"/>
                <w:sz w:val="18"/>
                <w:szCs w:val="18"/>
                <w:lang w:val="es-ES"/>
              </w:rPr>
            </w:r>
          </w:p>
          <w:p>
            <w:pPr>
              <w:pStyle w:val="Normal1"/>
              <w:widowControl/>
              <w:rPr>
                <w:lang w:val="es-ES"/>
              </w:rPr>
            </w:pPr>
            <w:r>
              <w:rPr>
                <w:rFonts w:eastAsia="Calibri" w:cs="Calibri" w:ascii="Calibri" w:hAnsi="Calibri"/>
                <w:sz w:val="18"/>
                <w:szCs w:val="18"/>
                <w:lang w:val="es-ES"/>
              </w:rPr>
              <w:t>[SCCs]</w:t>
            </w:r>
          </w:p>
          <w:p>
            <w:pPr>
              <w:pStyle w:val="Normal1"/>
              <w:widowControl/>
              <w:rPr>
                <w:rFonts w:ascii="Calibri" w:hAnsi="Calibri" w:eastAsia="Calibri" w:cs="Calibri"/>
                <w:sz w:val="18"/>
                <w:szCs w:val="18"/>
                <w:lang w:val="es-ES"/>
              </w:rPr>
            </w:pPr>
            <w:r>
              <w:rPr>
                <w:rFonts w:eastAsia="Calibri" w:cs="Calibri" w:ascii="Calibri" w:hAnsi="Calibri"/>
                <w:sz w:val="18"/>
                <w:szCs w:val="18"/>
                <w:lang w:val="es-ES"/>
              </w:rPr>
            </w:r>
          </w:p>
          <w:p>
            <w:pPr>
              <w:pStyle w:val="Normal1"/>
              <w:widowControl/>
              <w:rPr>
                <w:lang w:val="es-ES"/>
              </w:rPr>
            </w:pPr>
            <w:r>
              <w:rPr>
                <w:rFonts w:eastAsia="Calibri" w:cs="Calibri" w:ascii="Calibri" w:hAnsi="Calibri"/>
                <w:sz w:val="18"/>
                <w:szCs w:val="18"/>
                <w:lang w:val="es-ES"/>
              </w:rPr>
              <w:t>ou</w:t>
            </w:r>
          </w:p>
          <w:p>
            <w:pPr>
              <w:pStyle w:val="Normal1"/>
              <w:widowControl/>
              <w:rPr>
                <w:rFonts w:ascii="Calibri" w:hAnsi="Calibri" w:eastAsia="Calibri" w:cs="Calibri"/>
                <w:sz w:val="18"/>
                <w:szCs w:val="18"/>
                <w:lang w:val="es-ES"/>
              </w:rPr>
            </w:pPr>
            <w:r>
              <w:rPr>
                <w:rFonts w:eastAsia="Calibri" w:cs="Calibri" w:ascii="Calibri" w:hAnsi="Calibri"/>
                <w:sz w:val="18"/>
                <w:szCs w:val="18"/>
                <w:lang w:val="es-ES"/>
              </w:rPr>
            </w:r>
          </w:p>
          <w:p>
            <w:pPr>
              <w:pStyle w:val="Normal1"/>
              <w:widowControl/>
              <w:rPr>
                <w:lang w:val="es-ES"/>
              </w:rPr>
            </w:pPr>
            <w:r>
              <w:rPr>
                <w:rFonts w:eastAsia="Calibri" w:cs="Calibri" w:ascii="Calibri" w:hAnsi="Calibri"/>
                <w:sz w:val="18"/>
                <w:szCs w:val="18"/>
                <w:lang w:val="es-ES"/>
              </w:rPr>
              <w:t>[BCR]</w:t>
            </w:r>
          </w:p>
        </w:tc>
      </w:tr>
      <w:tr>
        <w:trPr>
          <w:trHeight w:val="180" w:hRule="atLeast"/>
        </w:trPr>
        <w:tc>
          <w:tcPr>
            <w:tcW w:w="9434" w:type="dxa"/>
            <w:gridSpan w:val="7"/>
            <w:tcBorders>
              <w:top w:val="single" w:sz="4" w:space="0" w:color="000000"/>
              <w:left w:val="single" w:sz="4" w:space="0" w:color="000000"/>
              <w:bottom w:val="single" w:sz="4" w:space="0" w:color="000000"/>
              <w:right w:val="single" w:sz="4" w:space="0" w:color="000000"/>
            </w:tcBorders>
            <w:shd w:fill="F3F3F3" w:val="clear"/>
          </w:tcPr>
          <w:p>
            <w:pPr>
              <w:pStyle w:val="Normal1"/>
              <w:widowControl/>
              <w:rPr>
                <w:lang w:val="es-ES"/>
              </w:rPr>
            </w:pPr>
            <w:r>
              <w:rPr>
                <w:rFonts w:eastAsia="Calibri" w:cs="Calibri" w:ascii="Calibri" w:hAnsi="Calibri"/>
                <w:sz w:val="18"/>
                <w:szCs w:val="18"/>
                <w:lang w:val="es-ES"/>
              </w:rPr>
              <w:t>2º(...)</w:t>
            </w:r>
          </w:p>
        </w:tc>
      </w:tr>
    </w:tbl>
    <w:p>
      <w:pPr>
        <w:pStyle w:val="Normal1"/>
        <w:widowControl/>
        <w:spacing w:lineRule="auto" w:line="276"/>
        <w:rPr>
          <w:rFonts w:ascii="Arial Narrow" w:hAnsi="Arial Narrow" w:eastAsia="Arial Narrow" w:cs="Arial Narrow"/>
          <w:b/>
          <w:sz w:val="22"/>
          <w:szCs w:val="22"/>
          <w:highlight w:val="yellow"/>
          <w:u w:val="single"/>
          <w:lang w:val="es-ES"/>
        </w:rPr>
      </w:pPr>
      <w:r>
        <w:rPr>
          <w:rFonts w:eastAsia="Arial Narrow" w:cs="Arial Narrow" w:ascii="Arial Narrow" w:hAnsi="Arial Narrow"/>
          <w:b/>
          <w:sz w:val="22"/>
          <w:szCs w:val="22"/>
          <w:highlight w:val="yellow"/>
          <w:u w:val="single"/>
          <w:lang w:val="es-ES"/>
        </w:rPr>
      </w:r>
    </w:p>
    <w:p>
      <w:pPr>
        <w:pStyle w:val="Normal1"/>
        <w:widowControl/>
        <w:spacing w:lineRule="auto" w:line="259" w:before="0" w:after="160"/>
        <w:jc w:val="center"/>
        <w:rPr>
          <w:rFonts w:ascii="Arial Narrow" w:hAnsi="Arial Narrow" w:eastAsia="Arial Narrow" w:cs="Arial Narrow"/>
          <w:b/>
          <w:sz w:val="22"/>
          <w:szCs w:val="22"/>
          <w:highlight w:val="yellow"/>
          <w:u w:val="single"/>
          <w:lang w:val="es-ES"/>
        </w:rPr>
      </w:pPr>
      <w:r>
        <w:rPr>
          <w:rFonts w:eastAsia="Arial Narrow" w:cs="Arial Narrow" w:ascii="Arial Narrow" w:hAnsi="Arial Narrow"/>
          <w:b/>
          <w:sz w:val="22"/>
          <w:szCs w:val="22"/>
          <w:highlight w:val="yellow"/>
          <w:u w:val="single"/>
          <w:lang w:val="es-ES"/>
        </w:rPr>
      </w:r>
    </w:p>
    <w:p>
      <w:pPr>
        <w:pStyle w:val="Normal1"/>
        <w:widowControl/>
        <w:spacing w:lineRule="auto" w:line="259" w:before="0" w:after="160"/>
        <w:jc w:val="center"/>
        <w:rPr>
          <w:rFonts w:ascii="Arial Narrow" w:hAnsi="Arial Narrow" w:eastAsia="Arial Narrow" w:cs="Arial Narrow"/>
          <w:b/>
          <w:sz w:val="22"/>
          <w:szCs w:val="22"/>
          <w:highlight w:val="yellow"/>
          <w:u w:val="single"/>
          <w:lang w:val="es-ES"/>
        </w:rPr>
      </w:pPr>
      <w:r>
        <w:rPr>
          <w:rFonts w:eastAsia="Arial Narrow" w:cs="Arial Narrow" w:ascii="Arial Narrow" w:hAnsi="Arial Narrow"/>
          <w:b/>
          <w:sz w:val="22"/>
          <w:szCs w:val="22"/>
          <w:highlight w:val="yellow"/>
          <w:u w:val="single"/>
          <w:lang w:val="es-ES"/>
        </w:rPr>
      </w:r>
    </w:p>
    <w:p>
      <w:pPr>
        <w:pStyle w:val="Normal1"/>
        <w:widowControl/>
        <w:spacing w:lineRule="auto" w:line="259" w:before="0" w:after="160"/>
        <w:jc w:val="center"/>
        <w:rPr>
          <w:rFonts w:ascii="Arial Narrow" w:hAnsi="Arial Narrow" w:eastAsia="Arial Narrow" w:cs="Arial Narrow"/>
          <w:b/>
          <w:sz w:val="22"/>
          <w:szCs w:val="22"/>
          <w:highlight w:val="yellow"/>
          <w:u w:val="single"/>
          <w:lang w:val="es-ES"/>
        </w:rPr>
      </w:pPr>
      <w:r>
        <w:rPr>
          <w:rFonts w:eastAsia="Arial Narrow" w:cs="Arial Narrow" w:ascii="Arial Narrow" w:hAnsi="Arial Narrow"/>
          <w:b/>
          <w:sz w:val="22"/>
          <w:szCs w:val="22"/>
          <w:highlight w:val="yellow"/>
          <w:u w:val="single"/>
          <w:lang w:val="es-ES"/>
        </w:rPr>
      </w:r>
    </w:p>
    <w:p>
      <w:pPr>
        <w:pStyle w:val="Normal1"/>
        <w:widowControl/>
        <w:spacing w:lineRule="auto" w:line="259" w:before="0" w:after="160"/>
        <w:jc w:val="center"/>
        <w:rPr>
          <w:rFonts w:ascii="Arial Narrow" w:hAnsi="Arial Narrow" w:eastAsia="Arial Narrow" w:cs="Arial Narrow"/>
          <w:b/>
          <w:sz w:val="22"/>
          <w:szCs w:val="22"/>
          <w:highlight w:val="yellow"/>
          <w:u w:val="single"/>
          <w:lang w:val="es-ES"/>
        </w:rPr>
      </w:pPr>
      <w:r>
        <w:rPr>
          <w:rFonts w:eastAsia="Arial Narrow" w:cs="Arial Narrow" w:ascii="Arial Narrow" w:hAnsi="Arial Narrow"/>
          <w:b/>
          <w:sz w:val="22"/>
          <w:szCs w:val="22"/>
          <w:highlight w:val="yellow"/>
          <w:u w:val="single"/>
          <w:lang w:val="es-ES"/>
        </w:rPr>
      </w:r>
    </w:p>
    <w:p>
      <w:pPr>
        <w:pStyle w:val="Normal1"/>
        <w:widowControl/>
        <w:spacing w:lineRule="auto" w:line="259" w:before="0" w:after="160"/>
        <w:jc w:val="center"/>
        <w:rPr>
          <w:lang w:val="es-ES"/>
        </w:rPr>
      </w:pPr>
      <w:r>
        <w:rPr>
          <w:rFonts w:eastAsia="Arial Narrow" w:cs="Arial Narrow" w:ascii="Arial Narrow" w:hAnsi="Arial Narrow"/>
          <w:b/>
          <w:sz w:val="22"/>
          <w:szCs w:val="22"/>
          <w:u w:val="single"/>
          <w:lang w:val="es-ES"/>
        </w:rPr>
        <w:t>Apéndice III - Plantilla para reporte de incidentes de seguridad</w:t>
      </w:r>
    </w:p>
    <w:tbl>
      <w:tblPr>
        <w:tblStyle w:val="Table17"/>
        <w:tblW w:w="9795" w:type="dxa"/>
        <w:jc w:val="left"/>
        <w:tblInd w:w="-269" w:type="dxa"/>
        <w:tblLayout w:type="fixed"/>
        <w:tblCellMar>
          <w:top w:w="0" w:type="dxa"/>
          <w:left w:w="108" w:type="dxa"/>
          <w:bottom w:w="0" w:type="dxa"/>
          <w:right w:w="108" w:type="dxa"/>
        </w:tblCellMar>
        <w:tblLook w:val="0400"/>
      </w:tblPr>
      <w:tblGrid>
        <w:gridCol w:w="3057"/>
        <w:gridCol w:w="6737"/>
      </w:tblGrid>
      <w:tr>
        <w:trPr>
          <w:trHeight w:val="405" w:hRule="atLeast"/>
        </w:trPr>
        <w:tc>
          <w:tcPr>
            <w:tcW w:w="3057"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lang w:val="es-ES"/>
              </w:rPr>
            </w:pPr>
            <w:r>
              <w:rPr>
                <w:rFonts w:eastAsia="Arial Narrow" w:cs="Arial Narrow" w:ascii="Arial Narrow" w:hAnsi="Arial Narrow"/>
                <w:sz w:val="18"/>
                <w:szCs w:val="18"/>
                <w:lang w:val="es-ES"/>
              </w:rPr>
              <w:t>NOMBRE DE LA COMPAÑÍA</w:t>
            </w:r>
          </w:p>
        </w:tc>
        <w:tc>
          <w:tcPr>
            <w:tcW w:w="6737"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lang w:val="es-ES"/>
              </w:rPr>
            </w:pPr>
            <w:r>
              <w:rPr>
                <w:lang w:val="es-ES"/>
              </w:rPr>
            </w:r>
          </w:p>
        </w:tc>
      </w:tr>
      <w:tr>
        <w:trPr>
          <w:trHeight w:val="429" w:hRule="atLeast"/>
        </w:trPr>
        <w:tc>
          <w:tcPr>
            <w:tcW w:w="3057"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lang w:val="es-ES"/>
              </w:rPr>
            </w:pPr>
            <w:r>
              <w:rPr>
                <w:rFonts w:eastAsia="Arial Narrow" w:cs="Arial Narrow" w:ascii="Arial Narrow" w:hAnsi="Arial Narrow"/>
                <w:sz w:val="18"/>
                <w:szCs w:val="18"/>
                <w:lang w:val="es-ES"/>
              </w:rPr>
              <w:t>NOMBRE/REFERENCIA DEL CONTRATO</w:t>
            </w:r>
          </w:p>
        </w:tc>
        <w:tc>
          <w:tcPr>
            <w:tcW w:w="6737"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rFonts w:ascii="Arial Narrow" w:hAnsi="Arial Narrow" w:eastAsia="Arial Narrow" w:cs="Arial Narrow"/>
                <w:sz w:val="18"/>
                <w:szCs w:val="18"/>
                <w:lang w:val="es-ES"/>
              </w:rPr>
            </w:pPr>
            <w:r>
              <w:rPr>
                <w:rFonts w:eastAsia="Arial Narrow" w:cs="Arial Narrow" w:ascii="Arial Narrow" w:hAnsi="Arial Narrow"/>
                <w:sz w:val="18"/>
                <w:szCs w:val="18"/>
                <w:lang w:val="es-ES"/>
              </w:rPr>
            </w:r>
          </w:p>
        </w:tc>
      </w:tr>
      <w:tr>
        <w:trPr>
          <w:trHeight w:val="405" w:hRule="atLeast"/>
        </w:trPr>
        <w:tc>
          <w:tcPr>
            <w:tcW w:w="3057"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lang w:val="es-ES"/>
              </w:rPr>
            </w:pPr>
            <w:r>
              <w:rPr>
                <w:rFonts w:eastAsia="Arial Narrow" w:cs="Arial Narrow" w:ascii="Arial Narrow" w:hAnsi="Arial Narrow"/>
                <w:sz w:val="18"/>
                <w:szCs w:val="18"/>
                <w:lang w:val="es-ES"/>
              </w:rPr>
              <w:t>DESCRIPCIÓN BREVE DE LA INCIDENCIA</w:t>
            </w:r>
          </w:p>
        </w:tc>
        <w:tc>
          <w:tcPr>
            <w:tcW w:w="6737"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rFonts w:ascii="Arial Narrow" w:hAnsi="Arial Narrow" w:eastAsia="Arial Narrow" w:cs="Arial Narrow"/>
                <w:sz w:val="18"/>
                <w:szCs w:val="18"/>
                <w:lang w:val="es-ES"/>
              </w:rPr>
            </w:pPr>
            <w:r>
              <w:rPr>
                <w:rFonts w:eastAsia="Arial Narrow" w:cs="Arial Narrow" w:ascii="Arial Narrow" w:hAnsi="Arial Narrow"/>
                <w:sz w:val="18"/>
                <w:szCs w:val="18"/>
                <w:lang w:val="es-ES"/>
              </w:rPr>
            </w:r>
          </w:p>
        </w:tc>
      </w:tr>
      <w:tr>
        <w:trPr/>
        <w:tc>
          <w:tcPr>
            <w:tcW w:w="3057"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lang w:val="es-ES"/>
              </w:rPr>
            </w:pPr>
            <w:r>
              <w:rPr>
                <w:rFonts w:eastAsia="Arial Narrow" w:cs="Arial Narrow" w:ascii="Arial Narrow" w:hAnsi="Arial Narrow"/>
                <w:sz w:val="18"/>
                <w:szCs w:val="18"/>
                <w:lang w:val="es-ES"/>
              </w:rPr>
              <w:t>FECHA DE DETECCIÓN</w:t>
            </w:r>
          </w:p>
        </w:tc>
        <w:tc>
          <w:tcPr>
            <w:tcW w:w="6737"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rFonts w:ascii="Arial Narrow" w:hAnsi="Arial Narrow" w:eastAsia="Arial Narrow" w:cs="Arial Narrow"/>
                <w:sz w:val="18"/>
                <w:szCs w:val="18"/>
                <w:lang w:val="es-ES"/>
              </w:rPr>
            </w:pPr>
            <w:r>
              <w:rPr>
                <w:rFonts w:eastAsia="Arial Narrow" w:cs="Arial Narrow" w:ascii="Arial Narrow" w:hAnsi="Arial Narrow"/>
                <w:sz w:val="18"/>
                <w:szCs w:val="18"/>
                <w:lang w:val="es-ES"/>
              </w:rPr>
            </w:r>
          </w:p>
        </w:tc>
      </w:tr>
      <w:tr>
        <w:trPr/>
        <w:tc>
          <w:tcPr>
            <w:tcW w:w="3057"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lang w:val="es-ES"/>
              </w:rPr>
            </w:pPr>
            <w:r>
              <w:rPr>
                <w:rFonts w:eastAsia="Arial Narrow" w:cs="Arial Narrow" w:ascii="Arial Narrow" w:hAnsi="Arial Narrow"/>
                <w:sz w:val="18"/>
                <w:szCs w:val="18"/>
                <w:lang w:val="es-ES"/>
              </w:rPr>
              <w:t>MEDIO POR EL QUE SE HA TENIDO CONSTANCIA DEL INCIDENTE</w:t>
            </w:r>
          </w:p>
        </w:tc>
        <w:tc>
          <w:tcPr>
            <w:tcW w:w="6737"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lang w:val="es-ES"/>
              </w:rPr>
            </w:pPr>
            <w:r>
              <w:rPr>
                <w:lang w:val="es-ES"/>
              </w:rPr>
            </w:r>
          </w:p>
        </w:tc>
      </w:tr>
      <w:tr>
        <w:trPr/>
        <w:tc>
          <w:tcPr>
            <w:tcW w:w="3057"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lang w:val="es-ES"/>
              </w:rPr>
            </w:pPr>
            <w:r>
              <w:rPr>
                <w:rFonts w:eastAsia="Arial Narrow" w:cs="Arial Narrow" w:ascii="Arial Narrow" w:hAnsi="Arial Narrow"/>
                <w:sz w:val="18"/>
                <w:szCs w:val="18"/>
                <w:lang w:val="es-ES"/>
              </w:rPr>
              <w:t>FECHA DEL INFORME</w:t>
            </w:r>
          </w:p>
        </w:tc>
        <w:tc>
          <w:tcPr>
            <w:tcW w:w="6737"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lang w:val="es-ES"/>
              </w:rPr>
            </w:pPr>
            <w:r>
              <w:rPr>
                <w:lang w:val="es-ES"/>
              </w:rPr>
            </w:r>
          </w:p>
        </w:tc>
      </w:tr>
      <w:tr>
        <w:trPr/>
        <w:tc>
          <w:tcPr>
            <w:tcW w:w="3057"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lang w:val="es-ES"/>
              </w:rPr>
            </w:pPr>
            <w:r>
              <w:rPr>
                <w:rFonts w:eastAsia="Arial Narrow" w:cs="Arial Narrow" w:ascii="Arial Narrow" w:hAnsi="Arial Narrow"/>
                <w:sz w:val="18"/>
                <w:szCs w:val="18"/>
                <w:lang w:val="es-ES"/>
              </w:rPr>
              <w:t>FECHA DE ENVÍO DEL INFORME</w:t>
            </w:r>
          </w:p>
        </w:tc>
        <w:tc>
          <w:tcPr>
            <w:tcW w:w="6737"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lang w:val="es-ES"/>
              </w:rPr>
            </w:pPr>
            <w:r>
              <w:rPr>
                <w:lang w:val="es-ES"/>
              </w:rPr>
            </w:r>
          </w:p>
        </w:tc>
      </w:tr>
    </w:tbl>
    <w:p>
      <w:pPr>
        <w:pStyle w:val="Normal1"/>
        <w:widowControl/>
        <w:ind w:hanging="0" w:left="496" w:right="-227"/>
        <w:jc w:val="center"/>
        <w:rPr>
          <w:rFonts w:ascii="Arial Narrow" w:hAnsi="Arial Narrow" w:eastAsia="Arial Narrow" w:cs="Arial Narrow"/>
          <w:sz w:val="18"/>
          <w:szCs w:val="18"/>
          <w:lang w:val="es-ES"/>
        </w:rPr>
      </w:pPr>
      <w:r>
        <w:rPr>
          <w:rFonts w:eastAsia="Arial Narrow" w:cs="Arial Narrow" w:ascii="Arial Narrow" w:hAnsi="Arial Narrow"/>
          <w:sz w:val="18"/>
          <w:szCs w:val="18"/>
          <w:lang w:val="es-ES"/>
        </w:rPr>
      </w:r>
    </w:p>
    <w:tbl>
      <w:tblPr>
        <w:tblStyle w:val="Table18"/>
        <w:tblW w:w="9825" w:type="dxa"/>
        <w:jc w:val="left"/>
        <w:tblInd w:w="-283" w:type="dxa"/>
        <w:tblLayout w:type="fixed"/>
        <w:tblCellMar>
          <w:top w:w="0" w:type="dxa"/>
          <w:left w:w="108" w:type="dxa"/>
          <w:bottom w:w="0" w:type="dxa"/>
          <w:right w:w="108" w:type="dxa"/>
        </w:tblCellMar>
        <w:tblLook w:val="0400"/>
      </w:tblPr>
      <w:tblGrid>
        <w:gridCol w:w="3135"/>
        <w:gridCol w:w="6689"/>
      </w:tblGrid>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lang w:val="es-ES"/>
              </w:rPr>
            </w:pPr>
            <w:r>
              <w:rPr>
                <w:rFonts w:eastAsia="Arial Narrow" w:cs="Arial Narrow" w:ascii="Arial Narrow" w:hAnsi="Arial Narrow"/>
                <w:sz w:val="18"/>
                <w:szCs w:val="18"/>
                <w:lang w:val="es-ES"/>
              </w:rPr>
              <w:t>Descripción del incidente y detalle de las investigaciones efectuadas:</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43" w:left="284" w:right="230"/>
              <w:jc w:val="both"/>
              <w:rPr>
                <w:lang w:val="es-ES"/>
              </w:rPr>
            </w:pPr>
            <w:r>
              <w:rPr>
                <w:rFonts w:eastAsia="Arial Narrow" w:cs="Arial Narrow" w:ascii="Arial Narrow" w:hAnsi="Arial Narrow"/>
                <w:sz w:val="18"/>
                <w:szCs w:val="18"/>
                <w:lang w:val="es-ES"/>
              </w:rPr>
              <w:t xml:space="preserve"> </w:t>
            </w:r>
            <w:r>
              <w:rPr>
                <w:rFonts w:eastAsia="Arial Narrow" w:cs="Arial Narrow" w:ascii="Arial Narrow" w:hAnsi="Arial Narrow"/>
                <w:sz w:val="18"/>
                <w:szCs w:val="18"/>
                <w:lang w:val="es-ES"/>
              </w:rPr>
              <w:t>Descripción de los hechos comprobados:</w:t>
            </w:r>
          </w:p>
        </w:tc>
      </w:tr>
      <w:tr>
        <w:trPr>
          <w:trHeight w:val="540" w:hRule="atLeast"/>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lang w:val="es-ES"/>
              </w:rPr>
            </w:pPr>
            <w:r>
              <w:rPr>
                <w:rFonts w:eastAsia="Arial Narrow" w:cs="Arial Narrow" w:ascii="Arial Narrow" w:hAnsi="Arial Narrow"/>
                <w:sz w:val="18"/>
                <w:szCs w:val="18"/>
                <w:lang w:val="es-ES"/>
              </w:rPr>
              <w:t>Categorías de afectados y número aproximado de registros comprometidos</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50" w:left="141" w:right="230"/>
              <w:jc w:val="both"/>
              <w:rPr>
                <w:lang w:val="es-ES"/>
              </w:rPr>
            </w:pPr>
            <w:r>
              <w:rPr>
                <w:rFonts w:eastAsia="Arial Narrow" w:cs="Arial Narrow" w:ascii="Arial Narrow" w:hAnsi="Arial Narrow"/>
                <w:sz w:val="18"/>
                <w:szCs w:val="18"/>
                <w:lang w:val="es-ES"/>
              </w:rPr>
              <w:t>Categorías de afectados:</w:t>
            </w:r>
          </w:p>
          <w:p>
            <w:pPr>
              <w:pStyle w:val="Normal1"/>
              <w:widowControl/>
              <w:ind w:hanging="150" w:left="141" w:right="230"/>
              <w:jc w:val="both"/>
              <w:rPr>
                <w:lang w:val="es-ES"/>
              </w:rPr>
            </w:pPr>
            <w:r>
              <w:rPr>
                <w:rFonts w:eastAsia="Arial Narrow" w:cs="Arial Narrow" w:ascii="Arial Narrow" w:hAnsi="Arial Narrow"/>
                <w:sz w:val="18"/>
                <w:szCs w:val="18"/>
                <w:lang w:val="es-ES"/>
              </w:rPr>
              <w:t>[ ] Clientes</w:t>
            </w:r>
          </w:p>
          <w:p>
            <w:pPr>
              <w:pStyle w:val="Normal1"/>
              <w:widowControl/>
              <w:ind w:hanging="150" w:left="141" w:right="230"/>
              <w:jc w:val="both"/>
              <w:rPr>
                <w:lang w:val="es-ES"/>
              </w:rPr>
            </w:pPr>
            <w:r>
              <w:rPr>
                <w:rFonts w:eastAsia="Arial Narrow" w:cs="Arial Narrow" w:ascii="Arial Narrow" w:hAnsi="Arial Narrow"/>
                <w:sz w:val="18"/>
                <w:szCs w:val="18"/>
                <w:lang w:val="es-ES"/>
              </w:rPr>
              <w:t>[ ] Posibles clientes</w:t>
            </w:r>
          </w:p>
          <w:p>
            <w:pPr>
              <w:pStyle w:val="Normal1"/>
              <w:widowControl/>
              <w:ind w:hanging="150" w:left="141" w:right="230"/>
              <w:jc w:val="both"/>
              <w:rPr>
                <w:lang w:val="es-ES"/>
              </w:rPr>
            </w:pPr>
            <w:r>
              <w:rPr>
                <w:rFonts w:eastAsia="Arial Narrow" w:cs="Arial Narrow" w:ascii="Arial Narrow" w:hAnsi="Arial Narrow"/>
                <w:sz w:val="18"/>
                <w:szCs w:val="18"/>
                <w:lang w:val="es-ES"/>
              </w:rPr>
              <w:t>[ ] Empleados</w:t>
            </w:r>
          </w:p>
          <w:p>
            <w:pPr>
              <w:pStyle w:val="Normal1"/>
              <w:widowControl/>
              <w:ind w:hanging="150" w:left="141" w:right="230"/>
              <w:jc w:val="both"/>
              <w:rPr>
                <w:lang w:val="es-ES"/>
              </w:rPr>
            </w:pPr>
            <w:r>
              <w:rPr>
                <w:rFonts w:eastAsia="Arial Narrow" w:cs="Arial Narrow" w:ascii="Arial Narrow" w:hAnsi="Arial Narrow"/>
                <w:sz w:val="18"/>
                <w:szCs w:val="18"/>
                <w:lang w:val="es-ES"/>
              </w:rPr>
              <w:t>[ ] Personas de contacto/representantes/firmantes de contratos</w:t>
            </w:r>
          </w:p>
          <w:p>
            <w:pPr>
              <w:pStyle w:val="Normal1"/>
              <w:widowControl/>
              <w:ind w:hanging="150" w:left="141" w:right="230"/>
              <w:jc w:val="both"/>
              <w:rPr>
                <w:lang w:val="es-ES"/>
              </w:rPr>
            </w:pPr>
            <w:r>
              <w:rPr>
                <w:rFonts w:eastAsia="Arial Narrow" w:cs="Arial Narrow" w:ascii="Arial Narrow" w:hAnsi="Arial Narrow"/>
                <w:sz w:val="18"/>
                <w:szCs w:val="18"/>
                <w:lang w:val="es-ES"/>
              </w:rPr>
              <w:t>[ ] Usuarios de páginas web</w:t>
            </w:r>
          </w:p>
          <w:p>
            <w:pPr>
              <w:pStyle w:val="Normal1"/>
              <w:widowControl/>
              <w:ind w:hanging="150" w:left="141" w:right="230"/>
              <w:jc w:val="both"/>
              <w:rPr>
                <w:lang w:val="es-ES"/>
              </w:rPr>
            </w:pPr>
            <w:r>
              <w:rPr>
                <w:rFonts w:eastAsia="Arial Narrow" w:cs="Arial Narrow" w:ascii="Arial Narrow" w:hAnsi="Arial Narrow"/>
                <w:sz w:val="18"/>
                <w:szCs w:val="18"/>
                <w:lang w:val="es-ES"/>
              </w:rPr>
              <w:t>[ ] Otros (detallar) -</w:t>
            </w:r>
          </w:p>
          <w:p>
            <w:pPr>
              <w:pStyle w:val="Normal1"/>
              <w:widowControl/>
              <w:ind w:hanging="150" w:left="141" w:right="230"/>
              <w:jc w:val="both"/>
              <w:rPr>
                <w:lang w:val="es-ES"/>
              </w:rPr>
            </w:pPr>
            <w:r>
              <w:rPr>
                <w:rFonts w:eastAsia="Arial Narrow" w:cs="Arial Narrow" w:ascii="Arial Narrow" w:hAnsi="Arial Narrow"/>
                <w:sz w:val="18"/>
                <w:szCs w:val="18"/>
                <w:lang w:val="es-ES"/>
              </w:rPr>
              <w:t>Número de registros comprometidos []   Personas afectadas y entidad Responsable. []</w:t>
            </w:r>
          </w:p>
        </w:tc>
      </w:tr>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lang w:val="es-ES"/>
              </w:rPr>
            </w:pPr>
            <w:r>
              <w:rPr>
                <w:rFonts w:eastAsia="Arial Narrow" w:cs="Arial Narrow" w:ascii="Arial Narrow" w:hAnsi="Arial Narrow"/>
                <w:sz w:val="18"/>
                <w:szCs w:val="18"/>
                <w:lang w:val="es-ES"/>
              </w:rPr>
              <w:t>Datos de carácter personal comprometidos:</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50" w:left="141" w:right="230"/>
              <w:jc w:val="both"/>
              <w:rPr>
                <w:lang w:val="es-ES"/>
              </w:rPr>
            </w:pPr>
            <w:r>
              <w:rPr>
                <w:rFonts w:eastAsia="Arial Narrow" w:cs="Arial Narrow" w:ascii="Arial Narrow" w:hAnsi="Arial Narrow"/>
                <w:sz w:val="18"/>
                <w:szCs w:val="18"/>
                <w:lang w:val="es-ES"/>
              </w:rPr>
              <w:t>[ ] Datos identificativos: nombre y apellidos</w:t>
            </w:r>
          </w:p>
          <w:p>
            <w:pPr>
              <w:pStyle w:val="Normal1"/>
              <w:widowControl/>
              <w:ind w:hanging="150" w:left="141" w:right="230"/>
              <w:jc w:val="both"/>
              <w:rPr>
                <w:lang w:val="es-ES"/>
              </w:rPr>
            </w:pPr>
            <w:r>
              <w:rPr>
                <w:rFonts w:eastAsia="Arial Narrow" w:cs="Arial Narrow" w:ascii="Arial Narrow" w:hAnsi="Arial Narrow"/>
                <w:sz w:val="18"/>
                <w:szCs w:val="18"/>
                <w:lang w:val="es-ES"/>
              </w:rPr>
              <w:t>[ ] Cuenta bancaria (pseudononimizada)</w:t>
            </w:r>
          </w:p>
          <w:p>
            <w:pPr>
              <w:pStyle w:val="Normal1"/>
              <w:widowControl/>
              <w:ind w:hanging="150" w:left="141" w:right="230"/>
              <w:jc w:val="both"/>
              <w:rPr>
                <w:lang w:val="es-ES"/>
              </w:rPr>
            </w:pPr>
            <w:r>
              <w:rPr>
                <w:rFonts w:eastAsia="Arial Narrow" w:cs="Arial Narrow" w:ascii="Arial Narrow" w:hAnsi="Arial Narrow"/>
                <w:sz w:val="18"/>
                <w:szCs w:val="18"/>
                <w:lang w:val="es-ES"/>
              </w:rPr>
              <w:t>[ ] DNI</w:t>
            </w:r>
          </w:p>
          <w:p>
            <w:pPr>
              <w:pStyle w:val="Normal1"/>
              <w:widowControl/>
              <w:ind w:hanging="150" w:left="141" w:right="230"/>
              <w:jc w:val="both"/>
              <w:rPr>
                <w:lang w:val="es-ES"/>
              </w:rPr>
            </w:pPr>
            <w:r>
              <w:rPr>
                <w:rFonts w:eastAsia="Arial Narrow" w:cs="Arial Narrow" w:ascii="Arial Narrow" w:hAnsi="Arial Narrow"/>
                <w:sz w:val="18"/>
                <w:szCs w:val="18"/>
                <w:lang w:val="es-ES"/>
              </w:rPr>
              <w:t>[ ] Dirección postal</w:t>
            </w:r>
          </w:p>
          <w:p>
            <w:pPr>
              <w:pStyle w:val="Normal1"/>
              <w:widowControl/>
              <w:ind w:hanging="150" w:left="141" w:right="230"/>
              <w:jc w:val="both"/>
              <w:rPr>
                <w:lang w:val="es-ES"/>
              </w:rPr>
            </w:pPr>
            <w:r>
              <w:rPr>
                <w:rFonts w:eastAsia="Arial Narrow" w:cs="Arial Narrow" w:ascii="Arial Narrow" w:hAnsi="Arial Narrow"/>
                <w:sz w:val="18"/>
                <w:szCs w:val="18"/>
                <w:lang w:val="es-ES"/>
              </w:rPr>
              <w:t>[ ] Correo electrónico.</w:t>
            </w:r>
          </w:p>
          <w:p>
            <w:pPr>
              <w:pStyle w:val="Normal1"/>
              <w:widowControl/>
              <w:ind w:hanging="150" w:left="141" w:right="230"/>
              <w:jc w:val="both"/>
              <w:rPr>
                <w:lang w:val="es-ES"/>
              </w:rPr>
            </w:pPr>
            <w:r>
              <w:rPr>
                <w:rFonts w:eastAsia="Arial Narrow" w:cs="Arial Narrow" w:ascii="Arial Narrow" w:hAnsi="Arial Narrow"/>
                <w:sz w:val="18"/>
                <w:szCs w:val="18"/>
                <w:lang w:val="es-ES"/>
              </w:rPr>
              <w:t>[ ] Currículum Vitae.</w:t>
            </w:r>
          </w:p>
          <w:p>
            <w:pPr>
              <w:pStyle w:val="Normal1"/>
              <w:widowControl/>
              <w:ind w:hanging="150" w:left="141" w:right="230"/>
              <w:jc w:val="both"/>
              <w:rPr>
                <w:lang w:val="es-ES"/>
              </w:rPr>
            </w:pPr>
            <w:r>
              <w:rPr>
                <w:rFonts w:eastAsia="Arial Narrow" w:cs="Arial Narrow" w:ascii="Arial Narrow" w:hAnsi="Arial Narrow"/>
                <w:sz w:val="18"/>
                <w:szCs w:val="18"/>
                <w:lang w:val="es-ES"/>
              </w:rPr>
              <w:t>[ ] Claves de usuario/contraseñas</w:t>
            </w:r>
          </w:p>
          <w:p>
            <w:pPr>
              <w:pStyle w:val="Normal1"/>
              <w:widowControl/>
              <w:ind w:hanging="150" w:left="141" w:right="230"/>
              <w:jc w:val="both"/>
              <w:rPr>
                <w:lang w:val="es-ES"/>
              </w:rPr>
            </w:pPr>
            <w:r>
              <w:rPr>
                <w:rFonts w:eastAsia="Arial Narrow" w:cs="Arial Narrow" w:ascii="Arial Narrow" w:hAnsi="Arial Narrow"/>
                <w:sz w:val="18"/>
                <w:szCs w:val="18"/>
                <w:lang w:val="es-ES"/>
              </w:rPr>
              <w:t>[ ] Otros ( especificar)</w:t>
            </w:r>
          </w:p>
        </w:tc>
      </w:tr>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lang w:val="es-ES"/>
              </w:rPr>
            </w:pPr>
            <w:r>
              <w:rPr>
                <w:rFonts w:eastAsia="Arial Narrow" w:cs="Arial Narrow" w:ascii="Arial Narrow" w:hAnsi="Arial Narrow"/>
                <w:sz w:val="18"/>
                <w:szCs w:val="18"/>
                <w:lang w:val="es-ES"/>
              </w:rPr>
              <w:t>Tipo de brecha de seguridad</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50" w:left="141" w:right="230"/>
              <w:jc w:val="both"/>
              <w:rPr>
                <w:lang w:val="es-ES"/>
              </w:rPr>
            </w:pPr>
            <w:r>
              <w:rPr>
                <w:rFonts w:eastAsia="Arial Narrow" w:cs="Arial Narrow" w:ascii="Arial Narrow" w:hAnsi="Arial Narrow"/>
                <w:sz w:val="18"/>
                <w:szCs w:val="18"/>
                <w:lang w:val="es-ES"/>
              </w:rPr>
              <w:t>[ ] Brecha de confidencialidad: partes que no están autorizadas, o no tienen un propósito legítimo para acceder a la información, acceden a ella. Informar:</w:t>
            </w:r>
          </w:p>
          <w:p>
            <w:pPr>
              <w:pStyle w:val="Normal1"/>
              <w:widowControl/>
              <w:numPr>
                <w:ilvl w:val="0"/>
                <w:numId w:val="12"/>
              </w:numPr>
              <w:ind w:hanging="150" w:left="141" w:right="230"/>
              <w:rPr>
                <w:lang w:val="es-ES"/>
              </w:rPr>
            </w:pPr>
            <w:r>
              <w:rPr>
                <w:rFonts w:eastAsia="Arial Narrow" w:cs="Arial Narrow" w:ascii="Arial Narrow" w:hAnsi="Arial Narrow"/>
                <w:sz w:val="18"/>
                <w:szCs w:val="18"/>
                <w:lang w:val="es-ES"/>
              </w:rPr>
              <w:t>Identidad de afectados (nombre o identificador de referencia).</w:t>
            </w:r>
          </w:p>
          <w:p>
            <w:pPr>
              <w:pStyle w:val="Normal1"/>
              <w:widowControl/>
              <w:numPr>
                <w:ilvl w:val="0"/>
                <w:numId w:val="12"/>
              </w:numPr>
              <w:ind w:hanging="150" w:left="141" w:right="230"/>
              <w:rPr>
                <w:lang w:val="es-ES"/>
              </w:rPr>
            </w:pPr>
            <w:r>
              <w:rPr>
                <w:rFonts w:eastAsia="Arial Narrow" w:cs="Arial Narrow" w:ascii="Arial Narrow" w:hAnsi="Arial Narrow"/>
                <w:sz w:val="18"/>
                <w:szCs w:val="18"/>
                <w:lang w:val="es-ES"/>
              </w:rPr>
              <w:t>Alcance de la divulgación: número potencial y tipo de partes que pueden haber accedido ilegalmente a la información. Identificar a receptores.</w:t>
            </w:r>
          </w:p>
          <w:p>
            <w:pPr>
              <w:pStyle w:val="Normal1"/>
              <w:widowControl/>
              <w:ind w:hanging="150" w:left="141" w:right="230"/>
              <w:jc w:val="both"/>
              <w:rPr>
                <w:lang w:val="es-ES"/>
              </w:rPr>
            </w:pPr>
            <w:r>
              <w:rPr>
                <w:rFonts w:eastAsia="Arial Narrow" w:cs="Arial Narrow" w:ascii="Arial Narrow" w:hAnsi="Arial Narrow"/>
                <w:sz w:val="18"/>
                <w:szCs w:val="18"/>
                <w:lang w:val="es-ES"/>
              </w:rPr>
              <w:t>[ ] Brecha de integridad: se altera la información original y la sustitución de datos puede ser perjudicial para el individuo.</w:t>
            </w:r>
          </w:p>
          <w:p>
            <w:pPr>
              <w:pStyle w:val="Normal1"/>
              <w:widowControl/>
              <w:numPr>
                <w:ilvl w:val="0"/>
                <w:numId w:val="12"/>
              </w:numPr>
              <w:ind w:hanging="150" w:left="141" w:right="230"/>
              <w:rPr>
                <w:lang w:val="es-ES"/>
              </w:rPr>
            </w:pPr>
            <w:r>
              <w:rPr>
                <w:rFonts w:eastAsia="Arial Narrow" w:cs="Arial Narrow" w:ascii="Arial Narrow" w:hAnsi="Arial Narrow"/>
                <w:sz w:val="18"/>
                <w:szCs w:val="18"/>
                <w:lang w:val="es-ES"/>
              </w:rPr>
              <w:t>Identidad de afectados (nombre o identificador de referencia).</w:t>
            </w:r>
          </w:p>
          <w:p>
            <w:pPr>
              <w:pStyle w:val="Normal1"/>
              <w:widowControl/>
              <w:numPr>
                <w:ilvl w:val="0"/>
                <w:numId w:val="12"/>
              </w:numPr>
              <w:ind w:hanging="150" w:left="141" w:right="230"/>
              <w:rPr>
                <w:lang w:val="es-ES"/>
              </w:rPr>
            </w:pPr>
            <w:r>
              <w:rPr>
                <w:rFonts w:eastAsia="Arial Narrow" w:cs="Arial Narrow" w:ascii="Arial Narrow" w:hAnsi="Arial Narrow"/>
                <w:sz w:val="18"/>
                <w:szCs w:val="18"/>
                <w:lang w:val="es-ES"/>
              </w:rPr>
              <w:t>Datos comprometidos a los que afecta la alteración.</w:t>
            </w:r>
          </w:p>
          <w:p>
            <w:pPr>
              <w:pStyle w:val="Normal1"/>
              <w:widowControl/>
              <w:numPr>
                <w:ilvl w:val="0"/>
                <w:numId w:val="12"/>
              </w:numPr>
              <w:ind w:hanging="150" w:left="141" w:right="230"/>
              <w:rPr>
                <w:lang w:val="es-ES"/>
              </w:rPr>
            </w:pPr>
            <w:r>
              <w:rPr>
                <w:rFonts w:eastAsia="Arial Narrow" w:cs="Arial Narrow" w:ascii="Arial Narrow" w:hAnsi="Arial Narrow"/>
                <w:sz w:val="18"/>
                <w:szCs w:val="18"/>
                <w:lang w:val="es-ES"/>
              </w:rPr>
              <w:t>Identificar en qué consiste la alteración.</w:t>
            </w:r>
          </w:p>
          <w:p>
            <w:pPr>
              <w:pStyle w:val="Normal1"/>
              <w:widowControl/>
              <w:ind w:hanging="150" w:left="141" w:right="230"/>
              <w:jc w:val="both"/>
              <w:rPr>
                <w:lang w:val="es-ES"/>
              </w:rPr>
            </w:pPr>
            <w:r>
              <w:rPr>
                <w:rFonts w:eastAsia="Arial Narrow" w:cs="Arial Narrow" w:ascii="Arial Narrow" w:hAnsi="Arial Narrow"/>
                <w:sz w:val="18"/>
                <w:szCs w:val="18"/>
                <w:lang w:val="es-ES"/>
              </w:rPr>
              <w:t xml:space="preserve"> </w:t>
            </w:r>
            <w:r>
              <w:rPr>
                <w:rFonts w:eastAsia="Arial Narrow" w:cs="Arial Narrow" w:ascii="Arial Narrow" w:hAnsi="Arial Narrow"/>
                <w:sz w:val="18"/>
                <w:szCs w:val="18"/>
                <w:lang w:val="es-ES"/>
              </w:rPr>
              <w:t>[ ] Brecha de disponibilidad: no se puede acceder a los datos originales cuando es necesario.</w:t>
            </w:r>
          </w:p>
          <w:p>
            <w:pPr>
              <w:pStyle w:val="Normal1"/>
              <w:widowControl/>
              <w:ind w:hanging="150" w:left="141" w:right="230"/>
              <w:jc w:val="both"/>
              <w:rPr>
                <w:lang w:val="es-ES"/>
              </w:rPr>
            </w:pPr>
            <w:r>
              <w:rPr>
                <w:rFonts w:eastAsia="Arial Narrow" w:cs="Arial Narrow" w:ascii="Arial Narrow" w:hAnsi="Arial Narrow"/>
                <w:sz w:val="18"/>
                <w:szCs w:val="18"/>
                <w:lang w:val="es-ES"/>
              </w:rPr>
              <w:t>[ ] Temporal (los datos son recuperables, pero tomará un periodo de tiempo y esto puede ser perjudicial para el individuo).</w:t>
            </w:r>
          </w:p>
          <w:p>
            <w:pPr>
              <w:pStyle w:val="Normal1"/>
              <w:widowControl/>
              <w:ind w:hanging="150" w:left="141" w:right="230"/>
              <w:jc w:val="both"/>
              <w:rPr>
                <w:lang w:val="es-ES"/>
              </w:rPr>
            </w:pPr>
            <w:r>
              <w:rPr>
                <w:rFonts w:eastAsia="Arial Narrow" w:cs="Arial Narrow" w:ascii="Arial Narrow" w:hAnsi="Arial Narrow"/>
                <w:sz w:val="18"/>
                <w:szCs w:val="18"/>
                <w:lang w:val="es-ES"/>
              </w:rPr>
              <w:t>[ ] Permanente (los datos no pueden recuperarse).</w:t>
            </w:r>
          </w:p>
          <w:p>
            <w:pPr>
              <w:pStyle w:val="Normal1"/>
              <w:widowControl/>
              <w:ind w:hanging="150" w:left="141" w:right="230"/>
              <w:jc w:val="both"/>
              <w:rPr>
                <w:lang w:val="es-ES"/>
              </w:rPr>
            </w:pPr>
            <w:r>
              <w:rPr>
                <w:lang w:val="es-ES"/>
              </w:rPr>
            </w:r>
          </w:p>
          <w:p>
            <w:pPr>
              <w:pStyle w:val="Normal1"/>
              <w:widowControl/>
              <w:ind w:hanging="150" w:left="141" w:right="230"/>
              <w:jc w:val="both"/>
              <w:rPr>
                <w:lang w:val="es-ES"/>
              </w:rPr>
            </w:pPr>
            <w:r>
              <w:rPr>
                <w:rFonts w:eastAsia="Arial Narrow" w:cs="Arial Narrow" w:ascii="Arial Narrow" w:hAnsi="Arial Narrow"/>
                <w:sz w:val="18"/>
                <w:szCs w:val="18"/>
                <w:lang w:val="es-ES"/>
              </w:rPr>
              <w:t>Comentarios:</w:t>
            </w:r>
          </w:p>
        </w:tc>
      </w:tr>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lang w:val="es-ES"/>
              </w:rPr>
            </w:pPr>
            <w:r>
              <w:rPr>
                <w:rFonts w:eastAsia="Arial Narrow" w:cs="Arial Narrow" w:ascii="Arial Narrow" w:hAnsi="Arial Narrow"/>
                <w:sz w:val="18"/>
                <w:szCs w:val="18"/>
                <w:lang w:val="es-ES"/>
              </w:rPr>
              <w:t>Trazabilidad de accesos y uso de datos comprometidos</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right="230"/>
              <w:jc w:val="both"/>
              <w:rPr>
                <w:lang w:val="es-ES"/>
              </w:rPr>
            </w:pPr>
            <w:r>
              <w:rPr>
                <w:rFonts w:eastAsia="Arial Narrow" w:cs="Arial Narrow" w:ascii="Arial Narrow" w:hAnsi="Arial Narrow"/>
                <w:sz w:val="18"/>
                <w:szCs w:val="18"/>
                <w:lang w:val="es-ES"/>
              </w:rPr>
              <w:t>Sistemas afectados, y si lo permiten, informar sobre los accesos a datos comprometidos.</w:t>
            </w:r>
          </w:p>
        </w:tc>
      </w:tr>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lang w:val="es-ES"/>
              </w:rPr>
            </w:pPr>
            <w:r>
              <w:rPr>
                <w:rFonts w:eastAsia="Arial Narrow" w:cs="Arial Narrow" w:ascii="Arial Narrow" w:hAnsi="Arial Narrow"/>
                <w:sz w:val="18"/>
                <w:szCs w:val="18"/>
                <w:lang w:val="es-ES"/>
              </w:rPr>
              <w:t>Medidas adoptadas para contener la incidencia, minimizar riesgos y para evitar nuevas incidencias:</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43" w:left="284" w:right="230"/>
              <w:jc w:val="both"/>
              <w:rPr>
                <w:lang w:val="es-ES"/>
              </w:rPr>
            </w:pPr>
            <w:r>
              <w:rPr>
                <w:lang w:val="es-ES"/>
              </w:rPr>
            </w:r>
          </w:p>
        </w:tc>
      </w:tr>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lang w:val="es-ES"/>
              </w:rPr>
            </w:pPr>
            <w:r>
              <w:rPr>
                <w:rFonts w:eastAsia="Arial Narrow" w:cs="Arial Narrow" w:ascii="Arial Narrow" w:hAnsi="Arial Narrow"/>
                <w:sz w:val="18"/>
                <w:szCs w:val="18"/>
                <w:lang w:val="es-ES"/>
              </w:rPr>
              <w:t xml:space="preserve"> </w:t>
            </w:r>
            <w:r>
              <w:rPr>
                <w:rFonts w:eastAsia="Arial Narrow" w:cs="Arial Narrow" w:ascii="Arial Narrow" w:hAnsi="Arial Narrow"/>
                <w:sz w:val="18"/>
                <w:szCs w:val="18"/>
                <w:lang w:val="es-ES"/>
              </w:rPr>
              <w:t>Clasificación del incidente de seguridad</w:t>
            </w:r>
          </w:p>
          <w:p>
            <w:pPr>
              <w:pStyle w:val="Normal1"/>
              <w:widowControl/>
              <w:ind w:right="-8"/>
              <w:rPr>
                <w:lang w:val="es-ES"/>
              </w:rPr>
            </w:pPr>
            <w:r>
              <w:rPr>
                <w:lang w:val="es-ES"/>
              </w:rPr>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43" w:left="284" w:right="230"/>
              <w:jc w:val="both"/>
              <w:rPr>
                <w:lang w:val="es-ES"/>
              </w:rPr>
            </w:pPr>
            <w:r>
              <w:rPr>
                <w:rFonts w:eastAsia="Arial Narrow" w:cs="Arial Narrow" w:ascii="Arial Narrow" w:hAnsi="Arial Narrow"/>
                <w:sz w:val="18"/>
                <w:szCs w:val="18"/>
                <w:lang w:val="es-ES"/>
              </w:rPr>
              <w:t>[ ] La Brecha de Seguridad se ha originado por una falta de medidas de seguridad técnicas implementadas en la compañía.</w:t>
            </w:r>
          </w:p>
          <w:p>
            <w:pPr>
              <w:pStyle w:val="Normal1"/>
              <w:widowControl/>
              <w:ind w:hanging="143" w:left="284" w:right="230"/>
              <w:jc w:val="both"/>
              <w:rPr>
                <w:lang w:val="es-ES"/>
              </w:rPr>
            </w:pPr>
            <w:r>
              <w:rPr>
                <w:rFonts w:eastAsia="Arial Narrow" w:cs="Arial Narrow" w:ascii="Arial Narrow" w:hAnsi="Arial Narrow"/>
                <w:sz w:val="18"/>
                <w:szCs w:val="18"/>
                <w:lang w:val="es-ES"/>
              </w:rPr>
              <w:t>[ ] La Brecha de Seguridad ha sido provocada por un ataque de un tercero.</w:t>
            </w:r>
          </w:p>
          <w:p>
            <w:pPr>
              <w:pStyle w:val="Normal1"/>
              <w:widowControl/>
              <w:ind w:hanging="143" w:left="284" w:right="230"/>
              <w:jc w:val="both"/>
              <w:rPr>
                <w:lang w:val="es-ES"/>
              </w:rPr>
            </w:pPr>
            <w:r>
              <w:rPr>
                <w:rFonts w:eastAsia="Arial Narrow" w:cs="Arial Narrow" w:ascii="Arial Narrow" w:hAnsi="Arial Narrow"/>
                <w:sz w:val="18"/>
                <w:szCs w:val="18"/>
                <w:lang w:val="es-ES"/>
              </w:rPr>
              <w:t>[ ] La Brecha de seguridad se ha originado por un error humano.</w:t>
            </w:r>
          </w:p>
          <w:p>
            <w:pPr>
              <w:pStyle w:val="Normal1"/>
              <w:widowControl/>
              <w:ind w:hanging="143" w:left="284" w:right="230"/>
              <w:jc w:val="both"/>
              <w:rPr>
                <w:lang w:val="es-ES"/>
              </w:rPr>
            </w:pPr>
            <w:r>
              <w:rPr>
                <w:rFonts w:eastAsia="Arial Narrow" w:cs="Arial Narrow" w:ascii="Arial Narrow" w:hAnsi="Arial Narrow"/>
                <w:sz w:val="18"/>
                <w:szCs w:val="18"/>
                <w:lang w:val="es-ES"/>
              </w:rPr>
              <w:t>[ ] Otro: especificar</w:t>
            </w:r>
          </w:p>
        </w:tc>
      </w:tr>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lang w:val="es-ES"/>
              </w:rPr>
            </w:pPr>
            <w:r>
              <w:rPr>
                <w:rFonts w:eastAsia="Arial Narrow" w:cs="Arial Narrow" w:ascii="Arial Narrow" w:hAnsi="Arial Narrow"/>
                <w:sz w:val="18"/>
                <w:szCs w:val="18"/>
                <w:lang w:val="es-ES"/>
              </w:rPr>
              <w:t xml:space="preserve"> </w:t>
            </w:r>
            <w:r>
              <w:rPr>
                <w:rFonts w:eastAsia="Arial Narrow" w:cs="Arial Narrow" w:ascii="Arial Narrow" w:hAnsi="Arial Narrow"/>
                <w:sz w:val="18"/>
                <w:szCs w:val="18"/>
                <w:lang w:val="es-ES"/>
              </w:rPr>
              <w:t>Información adicional</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43" w:left="284" w:right="-227"/>
              <w:rPr>
                <w:lang w:val="es-ES"/>
              </w:rPr>
            </w:pPr>
            <w:r>
              <w:rPr>
                <w:lang w:val="es-ES"/>
              </w:rPr>
            </w:r>
          </w:p>
        </w:tc>
      </w:tr>
    </w:tbl>
    <w:p>
      <w:pPr>
        <w:pStyle w:val="Normal1"/>
        <w:rPr>
          <w:lang w:val="es-ES"/>
        </w:rPr>
      </w:pPr>
      <w:r>
        <w:rPr>
          <w:lang w:val="es-ES"/>
        </w:rPr>
      </w:r>
    </w:p>
    <w:sectPr>
      <w:headerReference w:type="default" r:id="rId2"/>
      <w:headerReference w:type="first" r:id="rId3"/>
      <w:footerReference w:type="default" r:id="rId4"/>
      <w:footerReference w:type="first" r:id="rId5"/>
      <w:footnotePr>
        <w:numFmt w:val="decimal"/>
      </w:footnotePr>
      <w:type w:val="nextPage"/>
      <w:pgSz w:w="11906" w:h="16838"/>
      <w:pgMar w:left="1440" w:right="1440" w:gutter="0" w:header="720" w:top="1440" w:footer="720" w:bottom="1440"/>
      <w:pgNumType w:start="0"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Book Antiqua">
    <w:charset w:val="00"/>
    <w:family w:val="roman"/>
    <w:pitch w:val="variable"/>
  </w:font>
  <w:font w:name="Arial Narrow">
    <w:charset w:val="00"/>
    <w:family w:val="roman"/>
    <w:pitch w:val="variable"/>
  </w:font>
  <w:font w:name="Calibri">
    <w:charset w:val="00"/>
    <w:family w:val="roman"/>
    <w:pitch w:val="variable"/>
  </w:font>
  <w:font w:name="Liberation Sans">
    <w:altName w:val="Arial"/>
    <w:charset w:val="00"/>
    <w:family w:val="roman"/>
    <w:pitch w:val="variable"/>
  </w:font>
  <w:font w:name="OpenSymbol">
    <w:altName w:val="Arial Unicode MS"/>
    <w:charset w:val="01"/>
    <w:family w:val="auto"/>
    <w:pitch w:val="variable"/>
  </w:font>
  <w:font w:name="Noto Sans Symbols">
    <w:charset w:val="01"/>
    <w:family w:val="swiss"/>
    <w:pitch w:val="default"/>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jc w:val="right"/>
      <w:rPr>
        <w:rFonts w:ascii="Arial Narrow" w:hAnsi="Arial Narrow" w:eastAsia="Arial Narrow" w:cs="Arial Narrow"/>
      </w:rPr>
    </w:pPr>
    <w:r>
      <w:rPr/>
      <w:fldChar w:fldCharType="begin"/>
    </w:r>
    <w:r>
      <w:rPr/>
      <w:instrText xml:space="preserve"> PAGE </w:instrText>
    </w:r>
    <w:r>
      <w:rPr/>
      <w:fldChar w:fldCharType="separate"/>
    </w:r>
    <w:r>
      <w:rPr/>
      <w:t>11</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p>
  </w:footnote>
  <w:footnote w:id="1" w:type="continuationSeparator">
    <w:p>
      <w:pPr>
        <w:rPr>
          <w:sz w:val="12"/>
        </w:rPr>
      </w:pPr>
      <w:r/>
    </w:p>
  </w:footnote>
  <w:footnote w:id="2">
    <w:p>
      <w:pPr>
        <w:pStyle w:val="Normal1"/>
        <w:widowControl/>
        <w:jc w:val="both"/>
        <w:rPr>
          <w:rFonts w:ascii="Calibri" w:hAnsi="Calibri" w:eastAsia="Calibri" w:cs="Calibri"/>
          <w:sz w:val="20"/>
          <w:szCs w:val="20"/>
        </w:rPr>
      </w:pPr>
      <w:r>
        <w:rPr>
          <w:rStyle w:val="Caracteresdenotaalpie"/>
        </w:rPr>
        <w:footnoteRef/>
      </w:r>
      <w:r>
        <w:rPr>
          <w:rFonts w:eastAsia="Calibri" w:cs="Calibri" w:ascii="Calibri" w:hAnsi="Calibri"/>
          <w:sz w:val="20"/>
          <w:szCs w:val="20"/>
        </w:rPr>
        <w:t xml:space="preserve"> </w:t>
      </w:r>
      <w:r>
        <w:rPr>
          <w:rFonts w:eastAsia="Calibri" w:cs="Calibri" w:ascii="Calibri" w:hAnsi="Calibri"/>
          <w:sz w:val="20"/>
          <w:szCs w:val="20"/>
        </w:rPr>
        <w:t>Nota: El acceso remoto desde un tercer país (por ejemplo, en el caso de la prestación de servicios de asistencia técnica) y/o el alojamiento en un proveedor de servicios en la nube situado fuera del EEE también constituye una transferencia.</w:t>
      </w:r>
    </w:p>
  </w:footnote>
  <w:footnote w:id="3">
    <w:p>
      <w:pPr>
        <w:pStyle w:val="Normal1"/>
        <w:widowControl/>
        <w:jc w:val="both"/>
        <w:rPr>
          <w:rFonts w:ascii="Calibri" w:hAnsi="Calibri" w:eastAsia="Calibri" w:cs="Calibri"/>
          <w:sz w:val="20"/>
          <w:szCs w:val="20"/>
        </w:rPr>
      </w:pPr>
      <w:r>
        <w:rPr>
          <w:rStyle w:val="Caracteresdenotaalpie"/>
        </w:rPr>
        <w:footnoteRef/>
      </w:r>
      <w:r>
        <w:rPr>
          <w:rFonts w:eastAsia="Calibri" w:cs="Calibri" w:ascii="Calibri" w:hAnsi="Calibri"/>
          <w:sz w:val="20"/>
          <w:szCs w:val="20"/>
        </w:rPr>
        <w:t xml:space="preserve"> </w:t>
      </w:r>
      <w:r>
        <w:rPr>
          <w:rFonts w:eastAsia="Calibri" w:cs="Calibri" w:ascii="Calibri" w:hAnsi="Calibri"/>
          <w:sz w:val="20"/>
          <w:szCs w:val="20"/>
        </w:rPr>
        <w:t xml:space="preserve">Por favor, asegúrese de que las transferencias relacionadas con estos CCE Art 28 están correctamente cubiertas a través de las herramientas indicadas en la tabla.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spacing w:lineRule="auto" w:line="276"/>
      <w:ind w:firstLine="720"/>
      <w:jc w:val="both"/>
      <w:rPr>
        <w:rFonts w:ascii="Arial Narrow" w:hAnsi="Arial Narrow" w:eastAsia="Arial Narrow" w:cs="Arial Narrow"/>
        <w:sz w:val="15"/>
        <w:szCs w:val="15"/>
      </w:rPr>
    </w:pPr>
    <w:r>
      <w:rPr>
        <w:rFonts w:eastAsia="Arial Narrow" w:cs="Arial Narrow" w:ascii="Arial Narrow" w:hAnsi="Arial Narrow"/>
        <w:sz w:val="15"/>
        <w:szCs w:val="15"/>
      </w:rPr>
      <w:drawing>
        <wp:anchor behindDoc="1" distT="0" distB="0" distL="0" distR="0" simplePos="0" locked="0" layoutInCell="0" allowOverlap="1" relativeHeight="13">
          <wp:simplePos x="0" y="0"/>
          <wp:positionH relativeFrom="margin">
            <wp:posOffset>4549775</wp:posOffset>
          </wp:positionH>
          <wp:positionV relativeFrom="margin">
            <wp:posOffset>-775335</wp:posOffset>
          </wp:positionV>
          <wp:extent cx="1590675" cy="476250"/>
          <wp:effectExtent l="0" t="0" r="0" b="0"/>
          <wp:wrapNone/>
          <wp:docPr id="6"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descr=""/>
                  <pic:cNvPicPr>
                    <a:picLocks noChangeAspect="1" noChangeArrowheads="1"/>
                  </pic:cNvPicPr>
                </pic:nvPicPr>
                <pic:blipFill>
                  <a:blip r:embed="rId1"/>
                  <a:stretch>
                    <a:fillRect/>
                  </a:stretch>
                </pic:blipFill>
                <pic:spPr bwMode="auto">
                  <a:xfrm>
                    <a:off x="0" y="0"/>
                    <a:ext cx="1590675" cy="476250"/>
                  </a:xfrm>
                  <a:prstGeom prst="rect">
                    <a:avLst/>
                  </a:prstGeom>
                </pic:spPr>
              </pic:pic>
            </a:graphicData>
          </a:graphic>
        </wp:anchor>
      </w:drawing>
    </w:r>
  </w:p>
  <w:p>
    <w:pPr>
      <w:pStyle w:val="Normal1"/>
      <w:spacing w:lineRule="auto" w:line="276"/>
      <w:ind w:firstLine="720"/>
      <w:jc w:val="both"/>
      <w:rPr>
        <w:sz w:val="15"/>
        <w:szCs w:val="15"/>
      </w:rPr>
    </w:pPr>
    <w:r>
      <w:rPr>
        <w:sz w:val="15"/>
        <w:szCs w:val="15"/>
      </w:rPr>
    </w:r>
  </w:p>
  <w:p>
    <w:pPr>
      <w:pStyle w:val="Normal1"/>
      <w:spacing w:lineRule="auto" w:line="276"/>
      <w:ind w:hanging="0" w:left="708"/>
      <w:jc w:val="both"/>
      <w:rPr>
        <w:rFonts w:ascii="Arial Narrow" w:hAnsi="Arial Narrow" w:eastAsia="Arial Narrow" w:cs="Arial Narrow"/>
        <w:sz w:val="15"/>
        <w:szCs w:val="15"/>
      </w:rPr>
    </w:pPr>
    <w:r>
      <w:rPr>
        <w:rFonts w:eastAsia="Arial Narrow" w:cs="Arial Narrow" w:ascii="Arial Narrow" w:hAnsi="Arial Narrow"/>
        <w:sz w:val="15"/>
        <w:szCs w:val="15"/>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rPr>
        <w:rFonts w:ascii="Arial Narrow" w:hAnsi="Arial Narrow" w:eastAsia="Arial Narrow" w:cs="Arial Narrow"/>
        <w:sz w:val="22"/>
        <w:szCs w:val="22"/>
      </w:rPr>
    </w:pPr>
    <w:r>
      <w:rPr>
        <w:rFonts w:eastAsia="Arial Narrow" w:cs="Arial Narrow" w:ascii="Arial Narrow" w:hAnsi="Arial Narrow"/>
        <w:sz w:val="22"/>
        <w:szCs w:val="2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spacing w:lineRule="auto" w:line="276"/>
      <w:ind w:firstLine="720"/>
      <w:jc w:val="both"/>
      <w:rPr>
        <w:rFonts w:ascii="Arial Narrow" w:hAnsi="Arial Narrow" w:eastAsia="Arial Narrow" w:cs="Arial Narrow"/>
        <w:sz w:val="15"/>
        <w:szCs w:val="15"/>
      </w:rPr>
    </w:pPr>
    <w:r>
      <w:rPr>
        <w:rFonts w:eastAsia="Arial Narrow" w:cs="Arial Narrow" w:ascii="Arial Narrow" w:hAnsi="Arial Narrow"/>
        <w:sz w:val="15"/>
        <w:szCs w:val="15"/>
      </w:rPr>
      <w:drawing>
        <wp:anchor behindDoc="1" distT="0" distB="0" distL="0" distR="0" simplePos="0" locked="0" layoutInCell="0" allowOverlap="1" relativeHeight="2">
          <wp:simplePos x="0" y="0"/>
          <wp:positionH relativeFrom="margin">
            <wp:posOffset>4616450</wp:posOffset>
          </wp:positionH>
          <wp:positionV relativeFrom="margin">
            <wp:posOffset>-781050</wp:posOffset>
          </wp:positionV>
          <wp:extent cx="1590675" cy="476250"/>
          <wp:effectExtent l="0" t="0" r="0" b="0"/>
          <wp:wrapNone/>
          <wp:docPr id="7"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2" descr=""/>
                  <pic:cNvPicPr>
                    <a:picLocks noChangeAspect="1" noChangeArrowheads="1"/>
                  </pic:cNvPicPr>
                </pic:nvPicPr>
                <pic:blipFill>
                  <a:blip r:embed="rId1"/>
                  <a:stretch>
                    <a:fillRect/>
                  </a:stretch>
                </pic:blipFill>
                <pic:spPr bwMode="auto">
                  <a:xfrm>
                    <a:off x="0" y="0"/>
                    <a:ext cx="1590675" cy="476250"/>
                  </a:xfrm>
                  <a:prstGeom prst="rect">
                    <a:avLst/>
                  </a:prstGeom>
                </pic:spPr>
              </pic:pic>
            </a:graphicData>
          </a:graphic>
        </wp:anchor>
      </w:drawing>
    </w:r>
  </w:p>
  <w:p>
    <w:pPr>
      <w:pStyle w:val="Normal1"/>
      <w:spacing w:lineRule="auto" w:line="276"/>
      <w:ind w:firstLine="720"/>
      <w:jc w:val="both"/>
      <w:rPr>
        <w:sz w:val="15"/>
        <w:szCs w:val="15"/>
      </w:rPr>
    </w:pPr>
    <w:r>
      <w:rPr>
        <w:sz w:val="15"/>
        <w:szCs w:val="15"/>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0" w:hanging="0"/>
      </w:pPr>
      <w:rPr>
        <w:vertAlign w:val="baseline"/>
        <w:position w:val="0"/>
        <w:sz w:val="19"/>
        <w:sz w:val="19"/>
        <w:szCs w:val="19"/>
        <w:rFonts w:ascii="Times New Roman" w:hAnsi="Times New Roman" w:eastAsia="Times New Roman" w:cs="Times New Roman"/>
        <w:color w:val="000000"/>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2">
    <w:lvl w:ilvl="0">
      <w:start w:val="1"/>
      <w:numFmt w:val="decimal"/>
      <w:lvlText w:val="%1)"/>
      <w:lvlJc w:val="left"/>
      <w:pPr>
        <w:tabs>
          <w:tab w:val="num" w:pos="0"/>
        </w:tabs>
        <w:ind w:left="0" w:hanging="0"/>
      </w:pPr>
      <w:rPr>
        <w:vertAlign w:val="baseline"/>
        <w:position w:val="0"/>
        <w:sz w:val="19"/>
        <w:sz w:val="19"/>
        <w:szCs w:val="19"/>
        <w:rFonts w:ascii="Times New Roman" w:hAnsi="Times New Roman" w:eastAsia="Times New Roman" w:cs="Times New Roman"/>
        <w:color w:val="000000"/>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3">
    <w:lvl w:ilvl="0">
      <w:start w:val="1"/>
      <w:numFmt w:val="bullet"/>
      <w:lvlText w:val="-"/>
      <w:lvlJc w:val="left"/>
      <w:pPr>
        <w:tabs>
          <w:tab w:val="num" w:pos="0"/>
        </w:tabs>
        <w:ind w:left="1440" w:hanging="360"/>
      </w:pPr>
      <w:rPr>
        <w:rFonts w:ascii="OpenSymbol" w:hAnsi="OpenSymbol" w:cs="OpenSymbol" w:hint="default"/>
        <w:u w:val="none"/>
      </w:rPr>
    </w:lvl>
    <w:lvl w:ilvl="1">
      <w:start w:val="1"/>
      <w:numFmt w:val="bullet"/>
      <w:lvlText w:val="-"/>
      <w:lvlJc w:val="left"/>
      <w:pPr>
        <w:tabs>
          <w:tab w:val="num" w:pos="0"/>
        </w:tabs>
        <w:ind w:left="2160" w:hanging="360"/>
      </w:pPr>
      <w:rPr>
        <w:rFonts w:ascii="OpenSymbol" w:hAnsi="OpenSymbol" w:cs="OpenSymbol" w:hint="default"/>
        <w:u w:val="none"/>
      </w:rPr>
    </w:lvl>
    <w:lvl w:ilvl="2">
      <w:start w:val="1"/>
      <w:numFmt w:val="bullet"/>
      <w:lvlText w:val="-"/>
      <w:lvlJc w:val="left"/>
      <w:pPr>
        <w:tabs>
          <w:tab w:val="num" w:pos="0"/>
        </w:tabs>
        <w:ind w:left="2880" w:hanging="360"/>
      </w:pPr>
      <w:rPr>
        <w:rFonts w:ascii="OpenSymbol" w:hAnsi="OpenSymbol" w:cs="OpenSymbol" w:hint="default"/>
        <w:u w:val="none"/>
      </w:rPr>
    </w:lvl>
    <w:lvl w:ilvl="3">
      <w:start w:val="1"/>
      <w:numFmt w:val="bullet"/>
      <w:lvlText w:val="-"/>
      <w:lvlJc w:val="left"/>
      <w:pPr>
        <w:tabs>
          <w:tab w:val="num" w:pos="0"/>
        </w:tabs>
        <w:ind w:left="3600" w:hanging="360"/>
      </w:pPr>
      <w:rPr>
        <w:rFonts w:ascii="OpenSymbol" w:hAnsi="OpenSymbol" w:cs="OpenSymbol" w:hint="default"/>
        <w:u w:val="none"/>
      </w:rPr>
    </w:lvl>
    <w:lvl w:ilvl="4">
      <w:start w:val="1"/>
      <w:numFmt w:val="bullet"/>
      <w:lvlText w:val="-"/>
      <w:lvlJc w:val="left"/>
      <w:pPr>
        <w:tabs>
          <w:tab w:val="num" w:pos="0"/>
        </w:tabs>
        <w:ind w:left="4320" w:hanging="360"/>
      </w:pPr>
      <w:rPr>
        <w:rFonts w:ascii="OpenSymbol" w:hAnsi="OpenSymbol" w:cs="OpenSymbol" w:hint="default"/>
        <w:u w:val="none"/>
      </w:rPr>
    </w:lvl>
    <w:lvl w:ilvl="5">
      <w:start w:val="1"/>
      <w:numFmt w:val="bullet"/>
      <w:lvlText w:val="-"/>
      <w:lvlJc w:val="left"/>
      <w:pPr>
        <w:tabs>
          <w:tab w:val="num" w:pos="0"/>
        </w:tabs>
        <w:ind w:left="5040" w:hanging="360"/>
      </w:pPr>
      <w:rPr>
        <w:rFonts w:ascii="OpenSymbol" w:hAnsi="OpenSymbol" w:cs="OpenSymbol" w:hint="default"/>
        <w:u w:val="none"/>
      </w:rPr>
    </w:lvl>
    <w:lvl w:ilvl="6">
      <w:start w:val="1"/>
      <w:numFmt w:val="bullet"/>
      <w:lvlText w:val="-"/>
      <w:lvlJc w:val="left"/>
      <w:pPr>
        <w:tabs>
          <w:tab w:val="num" w:pos="0"/>
        </w:tabs>
        <w:ind w:left="5760" w:hanging="360"/>
      </w:pPr>
      <w:rPr>
        <w:rFonts w:ascii="OpenSymbol" w:hAnsi="OpenSymbol" w:cs="OpenSymbol" w:hint="default"/>
        <w:u w:val="none"/>
      </w:rPr>
    </w:lvl>
    <w:lvl w:ilvl="7">
      <w:start w:val="1"/>
      <w:numFmt w:val="bullet"/>
      <w:lvlText w:val="-"/>
      <w:lvlJc w:val="left"/>
      <w:pPr>
        <w:tabs>
          <w:tab w:val="num" w:pos="0"/>
        </w:tabs>
        <w:ind w:left="6480" w:hanging="360"/>
      </w:pPr>
      <w:rPr>
        <w:rFonts w:ascii="OpenSymbol" w:hAnsi="OpenSymbol" w:cs="OpenSymbol" w:hint="default"/>
        <w:u w:val="none"/>
      </w:rPr>
    </w:lvl>
    <w:lvl w:ilvl="8">
      <w:start w:val="1"/>
      <w:numFmt w:val="bullet"/>
      <w:lvlText w:val="-"/>
      <w:lvlJc w:val="left"/>
      <w:pPr>
        <w:tabs>
          <w:tab w:val="num" w:pos="0"/>
        </w:tabs>
        <w:ind w:left="7200" w:hanging="360"/>
      </w:pPr>
      <w:rPr>
        <w:rFonts w:ascii="OpenSymbol" w:hAnsi="OpenSymbol" w:cs="OpenSymbol" w:hint="default"/>
        <w:u w:val="none"/>
      </w:rPr>
    </w:lvl>
  </w:abstractNum>
  <w:abstractNum w:abstractNumId="4">
    <w:lvl w:ilvl="0">
      <w:start w:val="1"/>
      <w:numFmt w:val="lowerLetter"/>
      <w:lvlText w:val="%1)"/>
      <w:lvlJc w:val="left"/>
      <w:pPr>
        <w:tabs>
          <w:tab w:val="num" w:pos="0"/>
        </w:tabs>
        <w:ind w:left="0" w:hanging="0"/>
      </w:pPr>
      <w:rPr>
        <w:vertAlign w:val="baseline"/>
        <w:position w:val="0"/>
        <w:sz w:val="19"/>
        <w:sz w:val="19"/>
        <w:szCs w:val="19"/>
        <w:rFonts w:ascii="Times New Roman" w:hAnsi="Times New Roman" w:eastAsia="Times New Roman" w:cs="Times New Roman"/>
        <w:color w:val="000000"/>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5">
    <w:lvl w:ilvl="0">
      <w:start w:val="1"/>
      <w:numFmt w:val="lowerLetter"/>
      <w:lvlText w:val="%1)"/>
      <w:lvlJc w:val="left"/>
      <w:pPr>
        <w:tabs>
          <w:tab w:val="num" w:pos="0"/>
        </w:tabs>
        <w:ind w:left="0" w:hanging="0"/>
      </w:pPr>
      <w:rPr>
        <w:vertAlign w:val="baseline"/>
        <w:position w:val="0"/>
        <w:sz w:val="19"/>
        <w:sz w:val="19"/>
        <w:szCs w:val="19"/>
        <w:rFonts w:ascii="Times New Roman" w:hAnsi="Times New Roman" w:eastAsia="Times New Roman" w:cs="Times New Roman"/>
        <w:color w:val="000000"/>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6">
    <w:lvl w:ilvl="0">
      <w:start w:val="1"/>
      <w:numFmt w:val="lowerLetter"/>
      <w:lvlText w:val="%1)"/>
      <w:lvlJc w:val="left"/>
      <w:pPr>
        <w:tabs>
          <w:tab w:val="num" w:pos="0"/>
        </w:tabs>
        <w:ind w:left="0" w:hanging="0"/>
      </w:pPr>
      <w:rPr>
        <w:vertAlign w:val="baseline"/>
        <w:position w:val="0"/>
        <w:sz w:val="19"/>
        <w:sz w:val="19"/>
        <w:szCs w:val="19"/>
        <w:rFonts w:ascii="Times New Roman" w:hAnsi="Times New Roman" w:eastAsia="Times New Roman" w:cs="Times New Roman"/>
        <w:color w:val="000000"/>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7">
    <w:lvl w:ilvl="0">
      <w:start w:val="1"/>
      <w:numFmt w:val="decimal"/>
      <w:lvlText w:val="%1)"/>
      <w:lvlJc w:val="left"/>
      <w:pPr>
        <w:tabs>
          <w:tab w:val="num" w:pos="0"/>
        </w:tabs>
        <w:ind w:left="0" w:hanging="0"/>
      </w:pPr>
      <w:rPr>
        <w:vertAlign w:val="baseline"/>
        <w:position w:val="0"/>
        <w:sz w:val="19"/>
        <w:sz w:val="19"/>
        <w:szCs w:val="19"/>
        <w:rFonts w:ascii="Times New Roman" w:hAnsi="Times New Roman" w:eastAsia="Times New Roman" w:cs="Times New Roman"/>
        <w:color w:val="000000"/>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8">
    <w:lvl w:ilvl="0">
      <w:start w:val="1"/>
      <w:numFmt w:val="decimal"/>
      <w:lvlText w:val="%1)"/>
      <w:lvlJc w:val="left"/>
      <w:pPr>
        <w:tabs>
          <w:tab w:val="num" w:pos="0"/>
        </w:tabs>
        <w:ind w:left="0" w:hanging="0"/>
      </w:pPr>
      <w:rPr>
        <w:vertAlign w:val="baseline"/>
        <w:position w:val="0"/>
        <w:sz w:val="19"/>
        <w:sz w:val="19"/>
        <w:szCs w:val="19"/>
        <w:rFonts w:ascii="Times New Roman" w:hAnsi="Times New Roman" w:eastAsia="Times New Roman" w:cs="Times New Roman"/>
        <w:color w:val="000000"/>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9">
    <w:lvl w:ilvl="0">
      <w:start w:val="1"/>
      <w:numFmt w:val="lowerLetter"/>
      <w:lvlText w:val="%1)"/>
      <w:lvlJc w:val="left"/>
      <w:pPr>
        <w:tabs>
          <w:tab w:val="num" w:pos="0"/>
        </w:tabs>
        <w:ind w:left="0" w:hanging="0"/>
      </w:pPr>
      <w:rPr>
        <w:vertAlign w:val="baseline"/>
        <w:position w:val="0"/>
        <w:sz w:val="19"/>
        <w:sz w:val="19"/>
        <w:szCs w:val="19"/>
        <w:rFonts w:ascii="Times New Roman" w:hAnsi="Times New Roman" w:eastAsia="Times New Roman" w:cs="Times New Roman"/>
        <w:color w:val="000000"/>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10">
    <w:lvl w:ilvl="0">
      <w:start w:val="1"/>
      <w:numFmt w:val="lowerLetter"/>
      <w:lvlText w:val="%1)"/>
      <w:lvlJc w:val="left"/>
      <w:pPr>
        <w:tabs>
          <w:tab w:val="num" w:pos="0"/>
        </w:tabs>
        <w:ind w:left="0" w:hanging="0"/>
      </w:pPr>
      <w:rPr>
        <w:vertAlign w:val="baseline"/>
        <w:position w:val="0"/>
        <w:sz w:val="19"/>
        <w:sz w:val="19"/>
        <w:szCs w:val="19"/>
        <w:rFonts w:ascii="Times New Roman" w:hAnsi="Times New Roman" w:eastAsia="Times New Roman" w:cs="Times New Roman"/>
        <w:color w:val="000000"/>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11">
    <w:lvl w:ilvl="0">
      <w:start w:val="1"/>
      <w:numFmt w:val="lowerLetter"/>
      <w:lvlText w:val="%1)"/>
      <w:lvlJc w:val="left"/>
      <w:pPr>
        <w:tabs>
          <w:tab w:val="num" w:pos="0"/>
        </w:tabs>
        <w:ind w:left="0" w:hanging="0"/>
      </w:pPr>
      <w:rPr>
        <w:vertAlign w:val="baseline"/>
        <w:position w:val="0"/>
        <w:sz w:val="19"/>
        <w:sz w:val="19"/>
        <w:szCs w:val="19"/>
        <w:rFonts w:ascii="Times New Roman" w:hAnsi="Times New Roman" w:eastAsia="Times New Roman" w:cs="Times New Roman"/>
        <w:color w:val="000000"/>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12">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3">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4">
    <w:lvl w:ilvl="0">
      <w:start w:val="1"/>
      <w:numFmt w:val="lowerLetter"/>
      <w:lvlText w:val="%1)"/>
      <w:lvlJc w:val="left"/>
      <w:pPr>
        <w:tabs>
          <w:tab w:val="num" w:pos="0"/>
        </w:tabs>
        <w:ind w:left="0" w:hanging="0"/>
      </w:pPr>
      <w:rPr>
        <w:vertAlign w:val="baseline"/>
        <w:position w:val="0"/>
        <w:sz w:val="19"/>
        <w:sz w:val="19"/>
        <w:szCs w:val="19"/>
        <w:rFonts w:ascii="Times New Roman" w:hAnsi="Times New Roman" w:eastAsia="Times New Roman" w:cs="Times New Roman"/>
        <w:color w:val="000000"/>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1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40"/>
  <w:defaultTabStop w:val="720"/>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Book Antiqua" w:hAnsi="Book Antiqua" w:eastAsia="Book Antiqua" w:cs="Book Antiqua"/>
        <w:sz w:val="24"/>
        <w:szCs w:val="24"/>
        <w:lang w:val="ca-ES"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Book Antiqua" w:hAnsi="Book Antiqua" w:eastAsia="Book Antiqua" w:cs="Book Antiqua"/>
      <w:color w:val="auto"/>
      <w:kern w:val="0"/>
      <w:sz w:val="24"/>
      <w:szCs w:val="24"/>
      <w:lang w:val="ca-ES" w:eastAsia="zh-CN" w:bidi="hi-IN"/>
    </w:rPr>
  </w:style>
  <w:style w:type="paragraph" w:styleId="Heading1">
    <w:name w:val="Heading 1"/>
    <w:basedOn w:val="Normal1"/>
    <w:next w:val="Normal1"/>
    <w:qFormat/>
    <w:pPr>
      <w:keepNext w:val="true"/>
      <w:widowControl/>
      <w:spacing w:lineRule="auto" w:line="259" w:before="240" w:after="60"/>
      <w:jc w:val="center"/>
    </w:pPr>
    <w:rPr>
      <w:rFonts w:ascii="Arial Narrow" w:hAnsi="Arial Narrow" w:eastAsia="Arial Narrow" w:cs="Arial Narrow"/>
      <w:b/>
      <w:smallCaps/>
      <w:sz w:val="22"/>
      <w:szCs w:val="22"/>
      <w:u w:val="single"/>
    </w:rPr>
  </w:style>
  <w:style w:type="paragraph" w:styleId="Heading2">
    <w:name w:val="Heading 2"/>
    <w:basedOn w:val="Normal1"/>
    <w:next w:val="Normal1"/>
    <w:qFormat/>
    <w:pPr>
      <w:keepNext w:val="true"/>
      <w:keepLines/>
      <w:spacing w:lineRule="auto" w:line="240" w:before="200" w:after="0"/>
      <w:ind w:hanging="360" w:left="1080"/>
    </w:pPr>
    <w:rPr>
      <w:b/>
      <w:u w:val="single"/>
    </w:rPr>
  </w:style>
  <w:style w:type="paragraph" w:styleId="Heading3">
    <w:name w:val="Heading 3"/>
    <w:basedOn w:val="Normal1"/>
    <w:next w:val="Normal1"/>
    <w:qFormat/>
    <w:pPr>
      <w:keepNext w:val="true"/>
      <w:keepLines/>
      <w:spacing w:lineRule="auto" w:line="240" w:before="40" w:after="0"/>
      <w:ind w:hanging="180" w:left="2520"/>
    </w:pPr>
    <w:rPr>
      <w:rFonts w:ascii="Calibri" w:hAnsi="Calibri" w:eastAsia="Calibri" w:cs="Calibri"/>
      <w:color w:val="1E4D78"/>
    </w:rPr>
  </w:style>
  <w:style w:type="paragraph" w:styleId="Heading4">
    <w:name w:val="Heading 4"/>
    <w:basedOn w:val="Normal1"/>
    <w:next w:val="Normal1"/>
    <w:qFormat/>
    <w:pPr>
      <w:keepNext w:val="true"/>
      <w:widowControl/>
      <w:spacing w:lineRule="auto" w:line="240" w:before="240" w:after="60"/>
      <w:ind w:hanging="360" w:left="3240"/>
      <w:jc w:val="both"/>
    </w:pPr>
    <w:rPr>
      <w:b/>
      <w:u w:val="none"/>
    </w:rPr>
  </w:style>
  <w:style w:type="paragraph" w:styleId="Heading5">
    <w:name w:val="Heading 5"/>
    <w:basedOn w:val="Normal1"/>
    <w:next w:val="Normal1"/>
    <w:qFormat/>
    <w:pPr>
      <w:widowControl/>
      <w:spacing w:lineRule="auto" w:line="240" w:before="240" w:after="60"/>
      <w:ind w:hanging="360" w:left="3960"/>
      <w:jc w:val="both"/>
    </w:pPr>
    <w:rPr/>
  </w:style>
  <w:style w:type="paragraph" w:styleId="Heading6">
    <w:name w:val="Heading 6"/>
    <w:basedOn w:val="Normal1"/>
    <w:next w:val="Normal1"/>
    <w:qFormat/>
    <w:pPr>
      <w:widowControl/>
      <w:spacing w:lineRule="auto" w:line="240" w:before="240" w:after="60"/>
      <w:ind w:hanging="180" w:left="4680"/>
      <w:jc w:val="both"/>
    </w:pPr>
    <w:rPr>
      <w:i/>
      <w:sz w:val="22"/>
      <w:szCs w:val="22"/>
    </w:rPr>
  </w:style>
  <w:style w:type="character" w:styleId="Hyperlink">
    <w:name w:val="Hyperlink"/>
    <w:rPr>
      <w:color w:val="000080"/>
      <w:u w:val="single"/>
    </w:rPr>
  </w:style>
  <w:style w:type="character" w:styleId="Enlacedelndice">
    <w:name w:val="Enlace del índice"/>
    <w:qFormat/>
    <w:rPr/>
  </w:style>
  <w:style w:type="character" w:styleId="Caracteresdenotaalpie">
    <w:name w:val="Caracteres de nota al pie"/>
    <w:qFormat/>
    <w:rPr>
      <w:vertAlign w:val="superscript"/>
    </w:rPr>
  </w:style>
  <w:style w:type="character" w:styleId="FootnoteReference">
    <w:name w:val="Footnote Reference"/>
    <w:rPr>
      <w:vertAlign w:val="superscript"/>
    </w:rPr>
  </w:style>
  <w:style w:type="character" w:styleId="Caracteresdenotafinal">
    <w:name w:val="Caracteres de nota final"/>
    <w:qFormat/>
    <w:rPr>
      <w:vertAlign w:val="superscript"/>
    </w:rPr>
  </w:style>
  <w:style w:type="character" w:styleId="EndnoteReference">
    <w:name w:val="Endnote Reference"/>
    <w:rPr>
      <w:vertAlign w:val="superscrip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1" w:default="1">
    <w:name w:val="normal1"/>
    <w:qFormat/>
    <w:pPr>
      <w:widowControl w:val="false"/>
      <w:suppressAutoHyphens w:val="true"/>
      <w:bidi w:val="0"/>
      <w:spacing w:before="0" w:after="0"/>
      <w:jc w:val="left"/>
    </w:pPr>
    <w:rPr>
      <w:rFonts w:ascii="Book Antiqua" w:hAnsi="Book Antiqua" w:eastAsia="Book Antiqua" w:cs="Book Antiqua"/>
      <w:color w:val="auto"/>
      <w:kern w:val="0"/>
      <w:sz w:val="24"/>
      <w:szCs w:val="24"/>
      <w:lang w:val="ca-ES" w:eastAsia="zh-CN" w:bidi="hi-IN"/>
    </w:rPr>
  </w:style>
  <w:style w:type="paragraph" w:styleId="Title">
    <w:name w:val="Title"/>
    <w:basedOn w:val="Normal1"/>
    <w:next w:val="Normal1"/>
    <w:qFormat/>
    <w:pPr>
      <w:widowControl/>
      <w:spacing w:lineRule="auto" w:line="276" w:before="360" w:after="600"/>
      <w:jc w:val="center"/>
    </w:pPr>
    <w:rPr>
      <w:b/>
      <w:smallCaps/>
      <w:sz w:val="22"/>
      <w:szCs w:val="22"/>
    </w:rPr>
  </w:style>
  <w:style w:type="paragraph" w:styleId="Subtitle">
    <w:name w:val="Subtitle"/>
    <w:basedOn w:val="Normal1"/>
    <w:next w:val="Normal1"/>
    <w:qFormat/>
    <w:pPr>
      <w:widowControl/>
      <w:spacing w:lineRule="auto" w:line="312" w:before="120" w:after="120"/>
      <w:jc w:val="both"/>
    </w:pPr>
    <w:rPr>
      <w:b/>
      <w:i/>
      <w:color w:val="000000"/>
      <w:sz w:val="28"/>
      <w:szCs w:val="28"/>
    </w:rPr>
  </w:style>
  <w:style w:type="paragraph" w:styleId="FootnoteText">
    <w:name w:val="Footnote Text"/>
    <w:basedOn w:val="Normal"/>
    <w:pPr/>
    <w:rPr/>
  </w:style>
  <w:style w:type="paragraph" w:styleId="Cabeceraypie">
    <w:name w:val="Cabecera y pie"/>
    <w:basedOn w:val="Normal"/>
    <w:qFormat/>
    <w:pPr/>
    <w:rPr/>
  </w:style>
  <w:style w:type="paragraph" w:styleId="Header">
    <w:name w:val="Header"/>
    <w:basedOn w:val="Cabeceraypie"/>
    <w:pPr/>
    <w:rPr/>
  </w:style>
  <w:style w:type="paragraph" w:styleId="Footer">
    <w:name w:val="Footer"/>
    <w:basedOn w:val="Cabeceraypie"/>
    <w:pPr/>
    <w:rPr/>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fIZ33/IduUrxGWz2XRlczYY2R1w==">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27</TotalTime>
  <Application>LibreOffice/7.6.6.3$Windows_X86_64 LibreOffice_project/d97b2716a9a4a2ce1391dee1765565ea469b0ae7</Application>
  <AppVersion>15.0000</AppVersion>
  <Pages>12</Pages>
  <Words>5475</Words>
  <Characters>30136</Characters>
  <CharactersWithSpaces>35412</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2024-09-17T14:00:33Z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